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 the quarterly period ended June 29, 2026</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60"/>
        <w:jc w:val="center"/>
        <w:rPr>
          <w:rFonts w:ascii="Times New Roman;serif" w:hAnsi="Times New Roman;serif"/>
          <w:b/>
          <w:color w:val="181717"/>
          <w:sz w:val="20"/>
        </w:rPr>
      </w:pPr>
      <w:r>
        <w:rPr>
          <w:rFonts w:ascii="Times New Roman;serif" w:hAnsi="Times New Roman;serif"/>
          <w:b/>
          <w:color w:val="181717"/>
          <w:sz w:val="20"/>
        </w:rPr>
        <w:t>For the transition period from         to    </w:t>
      </w:r>
    </w:p>
    <w:p>
      <w:pPr>
        <w:pStyle w:val="TextBody"/>
        <w:bidi w:val="0"/>
        <w:spacing w:lineRule="auto" w:line="288" w:before="240" w:after="60"/>
        <w:jc w:val="center"/>
        <w:rPr>
          <w:rFonts w:ascii="Times New Roman;serif" w:hAnsi="Times New Roman;serif"/>
          <w:b/>
          <w:color w:val="181717"/>
          <w:sz w:val="20"/>
        </w:rPr>
      </w:pPr>
      <w:r>
        <w:rPr>
          <w:rFonts w:ascii="Times New Roman;serif" w:hAnsi="Times New Roman;serif"/>
          <w:b/>
          <w:color w:val="181717"/>
          <w:sz w:val="20"/>
        </w:rPr>
        <w:t>Commission File Number: 001-43273</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Suja Life, Inc.</w:t>
      </w:r>
    </w:p>
    <w:p>
      <w:pPr>
        <w:pStyle w:val="TextBody"/>
        <w:bidi w:val="0"/>
        <w:spacing w:lineRule="auto" w:line="288" w:before="0" w:after="0"/>
        <w:jc w:val="center"/>
        <w:rPr>
          <w:rFonts w:ascii="Times New Roman;serif" w:hAnsi="Times New Roman;serif"/>
          <w:b/>
          <w:color w:val="181717"/>
          <w:sz w:val="24"/>
        </w:rPr>
      </w:pPr>
      <w:r>
        <w:rPr>
          <w:rFonts w:ascii="Times New Roman;serif" w:hAnsi="Times New Roman;serif"/>
          <w:b/>
          <w:color w:val="181717"/>
          <w:sz w:val="24"/>
        </w:rPr>
        <w:t>(Exact name of registrant as specified in its charter)</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tbl>
      <w:tblPr>
        <w:tblW w:w="7285"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80"/>
        <w:gridCol w:w="780"/>
        <w:gridCol w:w="11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39-4779189</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3831 Ocean Ranch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92056</w:t>
            </w:r>
          </w:p>
        </w:tc>
      </w:tr>
      <w:tr>
        <w:trPr/>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Oceanside,</w:t>
            </w:r>
          </w:p>
        </w:tc>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(855) 879-7852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1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09" w:type="dxa"/>
        <w:jc w:val="left"/>
        <w:tblInd w:w="0" w:type="dxa"/>
        <w:tblLayout w:type="fixed"/>
        <w:tblCellMar>
          <w:top w:w="28" w:type="dxa"/>
          <w:left w:w="28" w:type="dxa"/>
          <w:bottom w:w="28" w:type="dxa"/>
          <w:right w:w="28" w:type="dxa"/>
        </w:tblCellMar>
      </w:tblPr>
      <w:tblGrid>
        <w:gridCol w:w="1550"/>
        <w:gridCol w:w="1362"/>
        <w:gridCol w:w="1378"/>
        <w:gridCol w:w="564"/>
        <w:gridCol w:w="564"/>
        <w:gridCol w:w="566"/>
        <w:gridCol w:w="1118"/>
        <w:gridCol w:w="1118"/>
        <w:gridCol w:w="158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SUJA</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23,788,700 shares of Class A common stock, par value $0.0001 per share, outstanding and 14,836,312 shares of Class V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16" w:type="dxa"/>
        <w:jc w:val="left"/>
        <w:tblInd w:w="0" w:type="dxa"/>
        <w:tblLayout w:type="fixed"/>
        <w:tblCellMar>
          <w:top w:w="28" w:type="dxa"/>
          <w:left w:w="28" w:type="dxa"/>
          <w:bottom w:w="28" w:type="dxa"/>
          <w:right w:w="28" w:type="dxa"/>
        </w:tblCellMar>
      </w:tblPr>
      <w:tblGrid>
        <w:gridCol w:w="410"/>
        <w:gridCol w:w="360"/>
        <w:gridCol w:w="360"/>
        <w:gridCol w:w="360"/>
        <w:gridCol w:w="360"/>
        <w:gridCol w:w="360"/>
        <w:gridCol w:w="2429"/>
        <w:gridCol w:w="2429"/>
        <w:gridCol w:w="2477"/>
        <w:gridCol w:w="167"/>
        <w:gridCol w:w="167"/>
        <w:gridCol w:w="237"/>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54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7">
              <w:r>
                <w:rPr>
                  <w:rStyle w:val="InternetLink"/>
                  <w:rFonts w:ascii="Times New Roman;serif" w:hAnsi="Times New Roman;serif"/>
                  <w:b w:val="false"/>
                  <w:strike w:val="false"/>
                  <w:dstrike w:val="false"/>
                  <w:color w:val="0000FF"/>
                  <w:sz w:val="20"/>
                  <w:u w:val="none"/>
                  <w:effect w:val="none"/>
                </w:rPr>
                <w:t>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7">
              <w:r>
                <w:rPr>
                  <w:rStyle w:val="InternetLink"/>
                  <w:rFonts w:ascii="Times New Roman;serif" w:hAnsi="Times New Roman;serif"/>
                  <w:b w:val="false"/>
                  <w:strike w:val="false"/>
                  <w:dstrike w:val="false"/>
                  <w:color w:val="0000FF"/>
                  <w:sz w:val="20"/>
                  <w:u w:val="none"/>
                  <w:effect w:val="none"/>
                </w:rPr>
                <w:t>4</w:t>
              </w:r>
            </w:hyperlink>
          </w:p>
        </w:tc>
      </w:tr>
      <w:tr>
        <w:trPr/>
        <w:tc>
          <w:tcPr>
            <w:tcW w:w="954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0">
              <w:r>
                <w:rPr>
                  <w:rStyle w:val="InternetLink"/>
                  <w:rFonts w:ascii="Times New Roman;serif" w:hAnsi="Times New Roman;serif"/>
                  <w:b w:val="false"/>
                  <w:strike w:val="false"/>
                  <w:dstrike w:val="false"/>
                  <w:color w:val="000080"/>
                  <w:sz w:val="20"/>
                  <w:u w:val="single"/>
                  <w:effect w:val="none"/>
                </w:rPr>
                <w:t>PART I</w:t>
              </w:r>
            </w:hyperlink>
            <w:hyperlink w:anchor="i5c16bcc70c0f41c2a7f743b6b2a49042_10">
              <w:r>
                <w:rPr>
                  <w:rStyle w:val="InternetLink"/>
                  <w:rFonts w:ascii="Times New Roman;serif" w:hAnsi="Times New Roman;serif"/>
                  <w:b w:val="false"/>
                  <w:strike w:val="false"/>
                  <w:dstrike w:val="false"/>
                  <w:color w:val="000080"/>
                  <w:sz w:val="20"/>
                  <w:u w:val="single"/>
                  <w:effect w:val="none"/>
                </w:rPr>
                <w:t xml:space="preserve">. </w:t>
              </w:r>
            </w:hyperlink>
            <w:hyperlink w:anchor="i5c16bcc70c0f41c2a7f743b6b2a49042_10">
              <w:r>
                <w:rPr>
                  <w:rStyle w:val="InternetLink"/>
                  <w:rFonts w:ascii="Times New Roman;serif" w:hAnsi="Times New Roman;serif"/>
                  <w:b w:val="false"/>
                  <w:strike w:val="false"/>
                  <w:dstrike w:val="false"/>
                  <w:color w:val="000080"/>
                  <w:sz w:val="20"/>
                  <w:u w:val="single"/>
                  <w:effect w:val="non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
              <w:r>
                <w:rPr>
                  <w:rStyle w:val="InternetLink"/>
                  <w:rFonts w:ascii="Times New Roman;serif" w:hAnsi="Times New Roman;serif"/>
                  <w:b w:val="false"/>
                  <w:strike w:val="false"/>
                  <w:dstrike w:val="false"/>
                  <w:color w:val="0000FF"/>
                  <w:sz w:val="20"/>
                  <w:u w:val="none"/>
                  <w:effect w:val="non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
              <w:r>
                <w:rPr>
                  <w:rStyle w:val="InternetLink"/>
                  <w:rFonts w:ascii="Times New Roman;serif" w:hAnsi="Times New Roman;serif"/>
                  <w:b w:val="false"/>
                  <w:strike w:val="false"/>
                  <w:dstrike w:val="false"/>
                  <w:color w:val="0000FF"/>
                  <w:sz w:val="20"/>
                  <w:u w:val="none"/>
                  <w:effect w:val="non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
              <w:r>
                <w:rPr>
                  <w:rStyle w:val="InternetLink"/>
                  <w:rFonts w:ascii="Times New Roman;serif" w:hAnsi="Times New Roman;serif"/>
                  <w:b w:val="false"/>
                  <w:strike w:val="false"/>
                  <w:dstrike w:val="false"/>
                  <w:color w:val="0000FF"/>
                  <w:sz w:val="20"/>
                  <w:u w:val="none"/>
                  <w:effect w:val="none"/>
                </w:rPr>
                <w:t>5</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C</w:t>
            </w:r>
            <w:hyperlink w:anchor="i5c16bcc70c0f41c2a7f743b6b2a49042_16">
              <w:r>
                <w:rPr>
                  <w:rStyle w:val="InternetLink"/>
                  <w:rFonts w:ascii="Times New Roman;serif" w:hAnsi="Times New Roman;serif"/>
                  <w:b w:val="false"/>
                  <w:strike w:val="false"/>
                  <w:dstrike w:val="false"/>
                  <w:color w:val="000080"/>
                  <w:sz w:val="20"/>
                  <w:u w:val="single"/>
                  <w:effect w:val="none"/>
                </w:rPr>
                <w:t xml:space="preserve">ondensed </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C</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 xml:space="preserve">onsolidated </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B</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 xml:space="preserve">alance </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S</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heets (</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U</w:t>
              </w:r>
            </w:hyperlink>
            <w:hyperlink w:anchor="i5c16bcc70c0f41c2a7f743b6b2a49042_16">
              <w:r>
                <w:rPr>
                  <w:rStyle w:val="InternetLink"/>
                  <w:rFonts w:ascii="Times New Roman;serif" w:hAnsi="Times New Roman;serif"/>
                  <w:b w:val="false"/>
                  <w:strike w:val="false"/>
                  <w:dstrike w:val="false"/>
                  <w:color w:val="000080"/>
                  <w:sz w:val="20"/>
                  <w:u w:val="single"/>
                  <w:effect w:val="none"/>
                </w:rPr>
                <w:t>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6">
              <w:r>
                <w:rPr>
                  <w:rStyle w:val="InternetLink"/>
                  <w:rFonts w:ascii="Times New Roman;serif" w:hAnsi="Times New Roman;serif"/>
                  <w:b w:val="false"/>
                  <w:strike w:val="false"/>
                  <w:dstrike w:val="false"/>
                  <w:color w:val="0000FF"/>
                  <w:sz w:val="20"/>
                  <w:u w:val="none"/>
                  <w:effect w:val="none"/>
                </w:rPr>
                <w:t>9</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C</w:t>
            </w:r>
            <w:hyperlink w:anchor="i5c16bcc70c0f41c2a7f743b6b2a49042_19">
              <w:r>
                <w:rPr>
                  <w:rStyle w:val="InternetLink"/>
                  <w:rFonts w:ascii="Times New Roman;serif" w:hAnsi="Times New Roman;serif"/>
                  <w:b w:val="false"/>
                  <w:strike w:val="false"/>
                  <w:dstrike w:val="false"/>
                  <w:color w:val="000080"/>
                  <w:sz w:val="20"/>
                  <w:u w:val="single"/>
                  <w:effect w:val="none"/>
                </w:rPr>
                <w:t xml:space="preserve">ondensed Consolidated </w:t>
              </w:r>
            </w:hyperlink>
            <w:hyperlink w:anchor="i5c16bcc70c0f41c2a7f743b6b2a49042_19">
              <w:r>
                <w:rPr>
                  <w:rStyle w:val="InternetLink"/>
                  <w:rFonts w:ascii="Times New Roman;serif" w:hAnsi="Times New Roman;serif"/>
                  <w:b w:val="false"/>
                  <w:strike w:val="false"/>
                  <w:dstrike w:val="false"/>
                  <w:color w:val="000080"/>
                  <w:sz w:val="20"/>
                  <w:u w:val="single"/>
                  <w:effect w:val="none"/>
                </w:rPr>
                <w:t>S</w:t>
              </w:r>
            </w:hyperlink>
            <w:hyperlink w:anchor="i5c16bcc70c0f41c2a7f743b6b2a49042_19">
              <w:r>
                <w:rPr>
                  <w:rStyle w:val="InternetLink"/>
                  <w:rFonts w:ascii="Times New Roman;serif" w:hAnsi="Times New Roman;serif"/>
                  <w:b w:val="false"/>
                  <w:strike w:val="false"/>
                  <w:dstrike w:val="false"/>
                  <w:color w:val="000080"/>
                  <w:sz w:val="20"/>
                  <w:u w:val="single"/>
                  <w:effect w:val="none"/>
                </w:rPr>
                <w:t xml:space="preserve">tatements of </w:t>
              </w:r>
            </w:hyperlink>
            <w:hyperlink w:anchor="i5c16bcc70c0f41c2a7f743b6b2a49042_19">
              <w:r>
                <w:rPr>
                  <w:rStyle w:val="InternetLink"/>
                  <w:rFonts w:ascii="Times New Roman;serif" w:hAnsi="Times New Roman;serif"/>
                  <w:b w:val="false"/>
                  <w:strike w:val="false"/>
                  <w:dstrike w:val="false"/>
                  <w:color w:val="000080"/>
                  <w:sz w:val="20"/>
                  <w:u w:val="single"/>
                  <w:effect w:val="none"/>
                </w:rPr>
                <w:t>O</w:t>
              </w:r>
            </w:hyperlink>
            <w:hyperlink w:anchor="i5c16bcc70c0f41c2a7f743b6b2a49042_19">
              <w:r>
                <w:rPr>
                  <w:rStyle w:val="InternetLink"/>
                  <w:rFonts w:ascii="Times New Roman;serif" w:hAnsi="Times New Roman;serif"/>
                  <w:b w:val="false"/>
                  <w:strike w:val="false"/>
                  <w:dstrike w:val="false"/>
                  <w:color w:val="000080"/>
                  <w:sz w:val="20"/>
                  <w:u w:val="single"/>
                  <w:effect w:val="none"/>
                </w:rPr>
                <w:t>perations (</w:t>
              </w:r>
            </w:hyperlink>
            <w:hyperlink w:anchor="i5c16bcc70c0f41c2a7f743b6b2a49042_19">
              <w:r>
                <w:rPr>
                  <w:rStyle w:val="InternetLink"/>
                  <w:rFonts w:ascii="Times New Roman;serif" w:hAnsi="Times New Roman;serif"/>
                  <w:b w:val="false"/>
                  <w:strike w:val="false"/>
                  <w:dstrike w:val="false"/>
                  <w:color w:val="000080"/>
                  <w:sz w:val="20"/>
                  <w:u w:val="single"/>
                  <w:effect w:val="none"/>
                </w:rPr>
                <w:t>U</w:t>
              </w:r>
            </w:hyperlink>
            <w:hyperlink w:anchor="i5c16bcc70c0f41c2a7f743b6b2a49042_19">
              <w:r>
                <w:rPr>
                  <w:rStyle w:val="InternetLink"/>
                  <w:rFonts w:ascii="Times New Roman;serif" w:hAnsi="Times New Roman;serif"/>
                  <w:b w:val="false"/>
                  <w:strike w:val="false"/>
                  <w:dstrike w:val="false"/>
                  <w:color w:val="000080"/>
                  <w:sz w:val="20"/>
                  <w:u w:val="single"/>
                  <w:effect w:val="none"/>
                </w:rPr>
                <w:t>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9">
              <w:r>
                <w:rPr>
                  <w:rStyle w:val="InternetLink"/>
                  <w:rFonts w:ascii="Times New Roman;serif" w:hAnsi="Times New Roman;serif"/>
                  <w:b w:val="false"/>
                  <w:strike w:val="false"/>
                  <w:dstrike w:val="false"/>
                  <w:color w:val="0000FF"/>
                  <w:sz w:val="20"/>
                  <w:u w:val="none"/>
                  <w:effect w:val="none"/>
                </w:rPr>
                <w:t>10</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C</w:t>
            </w:r>
            <w:hyperlink w:anchor="i5c16bcc70c0f41c2a7f743b6b2a49042_22">
              <w:r>
                <w:rPr>
                  <w:rStyle w:val="InternetLink"/>
                  <w:rFonts w:ascii="Times New Roman;serif" w:hAnsi="Times New Roman;serif"/>
                  <w:b w:val="false"/>
                  <w:strike w:val="false"/>
                  <w:dstrike w:val="false"/>
                  <w:color w:val="000080"/>
                  <w:sz w:val="20"/>
                  <w:u w:val="single"/>
                  <w:effect w:val="none"/>
                </w:rPr>
                <w:t xml:space="preserve">ondensed </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C</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 xml:space="preserve">onsolidated </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S</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 xml:space="preserve">tatements of </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P</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artners</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Stockholders</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 xml:space="preserve"> </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E</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quity (</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U</w:t>
              </w:r>
            </w:hyperlink>
            <w:hyperlink w:anchor="i5c16bcc70c0f41c2a7f743b6b2a49042_22">
              <w:r>
                <w:rPr>
                  <w:rStyle w:val="InternetLink"/>
                  <w:rFonts w:ascii="Times New Roman;serif" w:hAnsi="Times New Roman;serif"/>
                  <w:b w:val="false"/>
                  <w:strike w:val="false"/>
                  <w:dstrike w:val="false"/>
                  <w:color w:val="000080"/>
                  <w:sz w:val="20"/>
                  <w:u w:val="single"/>
                  <w:effect w:val="none"/>
                </w:rPr>
                <w:t>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22">
              <w:r>
                <w:rPr>
                  <w:rStyle w:val="InternetLink"/>
                  <w:rFonts w:ascii="Times New Roman;serif" w:hAnsi="Times New Roman;serif"/>
                  <w:b w:val="false"/>
                  <w:strike w:val="false"/>
                  <w:dstrike w:val="false"/>
                  <w:color w:val="0000FF"/>
                  <w:sz w:val="20"/>
                  <w:u w:val="none"/>
                  <w:effect w:val="none"/>
                </w:rPr>
                <w:t>11</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C</w:t>
            </w:r>
            <w:hyperlink w:anchor="i5c16bcc70c0f41c2a7f743b6b2a49042_25">
              <w:r>
                <w:rPr>
                  <w:rStyle w:val="InternetLink"/>
                  <w:rFonts w:ascii="Times New Roman;serif" w:hAnsi="Times New Roman;serif"/>
                  <w:b w:val="false"/>
                  <w:strike w:val="false"/>
                  <w:dstrike w:val="false"/>
                  <w:color w:val="000080"/>
                  <w:sz w:val="20"/>
                  <w:u w:val="single"/>
                  <w:effect w:val="none"/>
                </w:rPr>
                <w:t xml:space="preserve">ondensed </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C</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 xml:space="preserve">onsolidated </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S</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 xml:space="preserve">tatements of </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C</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 xml:space="preserve">ash </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F</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lows (</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U</w:t>
              </w:r>
            </w:hyperlink>
            <w:hyperlink w:anchor="i5c16bcc70c0f41c2a7f743b6b2a49042_25">
              <w:r>
                <w:rPr>
                  <w:rStyle w:val="InternetLink"/>
                  <w:rFonts w:ascii="Times New Roman;serif" w:hAnsi="Times New Roman;serif"/>
                  <w:b w:val="false"/>
                  <w:strike w:val="false"/>
                  <w:dstrike w:val="false"/>
                  <w:color w:val="000080"/>
                  <w:sz w:val="20"/>
                  <w:u w:val="single"/>
                  <w:effect w:val="none"/>
                </w:rPr>
                <w:t>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25">
              <w:r>
                <w:rPr>
                  <w:rStyle w:val="InternetLink"/>
                  <w:rFonts w:ascii="Times New Roman;serif" w:hAnsi="Times New Roman;serif"/>
                  <w:b w:val="false"/>
                  <w:strike w:val="false"/>
                  <w:dstrike w:val="false"/>
                  <w:color w:val="0000FF"/>
                  <w:sz w:val="20"/>
                  <w:u w:val="none"/>
                  <w:effect w:val="none"/>
                </w:rPr>
                <w:t>12</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N</w:t>
            </w:r>
            <w:hyperlink w:anchor="i5c16bcc70c0f41c2a7f743b6b2a49042_28">
              <w:r>
                <w:rPr>
                  <w:rStyle w:val="InternetLink"/>
                  <w:rFonts w:ascii="Times New Roman;serif" w:hAnsi="Times New Roman;serif"/>
                  <w:b w:val="false"/>
                  <w:strike w:val="false"/>
                  <w:dstrike w:val="false"/>
                  <w:color w:val="000080"/>
                  <w:sz w:val="20"/>
                  <w:u w:val="single"/>
                  <w:effect w:val="none"/>
                </w:rPr>
                <w:t xml:space="preserve">otes to </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C</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 xml:space="preserve">ondensed </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C</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 xml:space="preserve">onsolidated </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F</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inancial</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 xml:space="preserve"> </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S</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tatements (</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U</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28">
              <w:r>
                <w:rPr>
                  <w:rStyle w:val="InternetLink"/>
                  <w:rFonts w:ascii="Times New Roman;serif" w:hAnsi="Times New Roman;serif"/>
                  <w:b w:val="false"/>
                  <w:strike w:val="false"/>
                  <w:dstrike w:val="false"/>
                  <w:color w:val="0000FF"/>
                  <w:sz w:val="20"/>
                  <w:u w:val="none"/>
                  <w:effect w:val="none"/>
                </w:rPr>
                <w:t>13</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82">
              <w:r>
                <w:rPr>
                  <w:rStyle w:val="InternetLink"/>
                  <w:rFonts w:ascii="Times New Roman;serif" w:hAnsi="Times New Roman;serif"/>
                  <w:b w:val="false"/>
                  <w:strike w:val="false"/>
                  <w:dstrike w:val="false"/>
                  <w:color w:val="0000FF"/>
                  <w:sz w:val="20"/>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82">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82">
              <w:r>
                <w:rPr>
                  <w:rStyle w:val="InternetLink"/>
                  <w:rFonts w:ascii="Times New Roman;serif" w:hAnsi="Times New Roman;serif"/>
                  <w:b w:val="false"/>
                  <w:strike w:val="false"/>
                  <w:dstrike w:val="false"/>
                  <w:color w:val="0000FF"/>
                  <w:sz w:val="20"/>
                  <w:u w:val="none"/>
                  <w:effect w:val="none"/>
                </w:rPr>
                <w:t>29</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1">
              <w:r>
                <w:rPr>
                  <w:rStyle w:val="InternetLink"/>
                  <w:rFonts w:ascii="Times New Roman;serif" w:hAnsi="Times New Roman;serif"/>
                  <w:b w:val="false"/>
                  <w:strike w:val="false"/>
                  <w:dstrike w:val="false"/>
                  <w:color w:val="0000FF"/>
                  <w:sz w:val="20"/>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1">
              <w:r>
                <w:rPr>
                  <w:rStyle w:val="InternetLink"/>
                  <w:rFonts w:ascii="Times New Roman;serif" w:hAnsi="Times New Roman;serif"/>
                  <w:b w:val="false"/>
                  <w:strike w:val="false"/>
                  <w:dstrike w:val="false"/>
                  <w:color w:val="0000FF"/>
                  <w:sz w:val="20"/>
                  <w:u w:val="none"/>
                  <w:effect w:val="none"/>
                </w:rPr>
                <w:t xml:space="preserve">Quantitative and Qualitative Disclosures About Market Risk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21">
              <w:r>
                <w:rPr>
                  <w:rStyle w:val="InternetLink"/>
                  <w:rFonts w:ascii="Times New Roman;serif" w:hAnsi="Times New Roman;serif"/>
                  <w:b w:val="false"/>
                  <w:strike w:val="false"/>
                  <w:dstrike w:val="false"/>
                  <w:color w:val="0000FF"/>
                  <w:sz w:val="20"/>
                  <w:u w:val="none"/>
                  <w:effect w:val="none"/>
                </w:rPr>
                <w:t>42</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4">
              <w:r>
                <w:rPr>
                  <w:rStyle w:val="InternetLink"/>
                  <w:rFonts w:ascii="Times New Roman;serif" w:hAnsi="Times New Roman;serif"/>
                  <w:b w:val="false"/>
                  <w:strike w:val="false"/>
                  <w:dstrike w:val="false"/>
                  <w:color w:val="0000FF"/>
                  <w:sz w:val="20"/>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4">
              <w:r>
                <w:rPr>
                  <w:rStyle w:val="InternetLink"/>
                  <w:rFonts w:ascii="Times New Roman;serif" w:hAnsi="Times New Roman;serif"/>
                  <w:b w:val="false"/>
                  <w:strike w:val="false"/>
                  <w:dstrike w:val="false"/>
                  <w:color w:val="0000FF"/>
                  <w:sz w:val="20"/>
                  <w:u w:val="none"/>
                  <w:effect w:val="non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24">
              <w:r>
                <w:rPr>
                  <w:rStyle w:val="InternetLink"/>
                  <w:rFonts w:ascii="Times New Roman;serif" w:hAnsi="Times New Roman;serif"/>
                  <w:b w:val="false"/>
                  <w:strike w:val="false"/>
                  <w:dstrike w:val="false"/>
                  <w:color w:val="0000FF"/>
                  <w:sz w:val="20"/>
                  <w:u w:val="none"/>
                  <w:effect w:val="none"/>
                </w:rPr>
                <w:t>42</w:t>
              </w:r>
            </w:hyperlink>
          </w:p>
        </w:tc>
      </w:tr>
      <w:tr>
        <w:trPr/>
        <w:tc>
          <w:tcPr>
            <w:tcW w:w="954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7">
              <w:r>
                <w:rPr>
                  <w:rStyle w:val="InternetLink"/>
                  <w:rFonts w:ascii="Times New Roman;serif" w:hAnsi="Times New Roman;serif"/>
                  <w:b w:val="false"/>
                  <w:strike w:val="false"/>
                  <w:dstrike w:val="false"/>
                  <w:color w:val="000080"/>
                  <w:sz w:val="20"/>
                  <w:u w:val="single"/>
                  <w:effect w:val="none"/>
                </w:rPr>
                <w:t>PART II</w:t>
              </w:r>
            </w:hyperlink>
            <w:hyperlink w:anchor="i5c16bcc70c0f41c2a7f743b6b2a49042_127">
              <w:r>
                <w:rPr>
                  <w:rStyle w:val="InternetLink"/>
                  <w:rFonts w:ascii="Times New Roman;serif" w:hAnsi="Times New Roman;serif"/>
                  <w:b w:val="false"/>
                  <w:strike w:val="false"/>
                  <w:dstrike w:val="false"/>
                  <w:color w:val="000080"/>
                  <w:sz w:val="20"/>
                  <w:u w:val="single"/>
                  <w:effect w:val="none"/>
                </w:rPr>
                <w:t>.</w:t>
              </w:r>
            </w:hyperlink>
            <w:hyperlink w:anchor="i5c16bcc70c0f41c2a7f743b6b2a49042_127">
              <w:r>
                <w:rPr>
                  <w:rStyle w:val="InternetLink"/>
                  <w:rFonts w:ascii="Times New Roman;serif" w:hAnsi="Times New Roman;serif"/>
                  <w:b w:val="false"/>
                  <w:strike w:val="false"/>
                  <w:dstrike w:val="false"/>
                  <w:color w:val="000080"/>
                  <w:sz w:val="20"/>
                  <w:u w:val="single"/>
                  <w:effect w:val="none"/>
                </w:rPr>
                <w:t xml:space="preserve">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27">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0">
              <w:r>
                <w:rPr>
                  <w:rStyle w:val="InternetLink"/>
                  <w:rFonts w:ascii="Times New Roman;serif" w:hAnsi="Times New Roman;serif"/>
                  <w:b w:val="false"/>
                  <w:strike w:val="false"/>
                  <w:dstrike w:val="false"/>
                  <w:color w:val="0000FF"/>
                  <w:sz w:val="20"/>
                  <w:u w:val="none"/>
                  <w:effect w:val="non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0">
              <w:r>
                <w:rPr>
                  <w:rStyle w:val="InternetLink"/>
                  <w:rFonts w:ascii="Times New Roman;serif" w:hAnsi="Times New Roman;serif"/>
                  <w:b w:val="false"/>
                  <w:strike w:val="false"/>
                  <w:dstrike w:val="false"/>
                  <w:color w:val="0000FF"/>
                  <w:sz w:val="20"/>
                  <w:u w:val="none"/>
                  <w:effect w:val="non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0">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3">
              <w:r>
                <w:rPr>
                  <w:rStyle w:val="InternetLink"/>
                  <w:rFonts w:ascii="Times New Roman;serif" w:hAnsi="Times New Roman;serif"/>
                  <w:b w:val="false"/>
                  <w:strike w:val="false"/>
                  <w:dstrike w:val="false"/>
                  <w:color w:val="0000FF"/>
                  <w:sz w:val="20"/>
                  <w:u w:val="none"/>
                  <w:effect w:val="non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3">
              <w:r>
                <w:rPr>
                  <w:rStyle w:val="InternetLink"/>
                  <w:rFonts w:ascii="Times New Roman;serif" w:hAnsi="Times New Roman;serif"/>
                  <w:b w:val="false"/>
                  <w:strike w:val="false"/>
                  <w:dstrike w:val="false"/>
                  <w:color w:val="0000FF"/>
                  <w:sz w:val="20"/>
                  <w:u w:val="none"/>
                  <w:effect w:val="non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3">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6">
              <w:r>
                <w:rPr>
                  <w:rStyle w:val="InternetLink"/>
                  <w:rFonts w:ascii="Times New Roman;serif" w:hAnsi="Times New Roman;serif"/>
                  <w:b w:val="false"/>
                  <w:strike w:val="false"/>
                  <w:dstrike w:val="false"/>
                  <w:color w:val="0000FF"/>
                  <w:sz w:val="20"/>
                  <w:u w:val="none"/>
                  <w:effect w:val="none"/>
                </w:rPr>
                <w:t xml:space="preserve">ITEM 2. </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6">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6">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9">
              <w:r>
                <w:rPr>
                  <w:rStyle w:val="InternetLink"/>
                  <w:rFonts w:ascii="Times New Roman;serif" w:hAnsi="Times New Roman;serif"/>
                  <w:b w:val="false"/>
                  <w:strike w:val="false"/>
                  <w:dstrike w:val="false"/>
                  <w:color w:val="0000FF"/>
                  <w:sz w:val="20"/>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9">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9">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2">
              <w:r>
                <w:rPr>
                  <w:rStyle w:val="InternetLink"/>
                  <w:rFonts w:ascii="Times New Roman;serif" w:hAnsi="Times New Roman;serif"/>
                  <w:b w:val="false"/>
                  <w:strike w:val="false"/>
                  <w:dstrike w:val="false"/>
                  <w:color w:val="0000FF"/>
                  <w:sz w:val="20"/>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2">
              <w:r>
                <w:rPr>
                  <w:rStyle w:val="InternetLink"/>
                  <w:rFonts w:ascii="Times New Roman;serif" w:hAnsi="Times New Roman;serif"/>
                  <w:b w:val="false"/>
                  <w:strike w:val="false"/>
                  <w:dstrike w:val="false"/>
                  <w:color w:val="0000FF"/>
                  <w:sz w:val="20"/>
                  <w:u w:val="none"/>
                  <w:effect w:val="non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42">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5">
              <w:r>
                <w:rPr>
                  <w:rStyle w:val="InternetLink"/>
                  <w:rFonts w:ascii="Times New Roman;serif" w:hAnsi="Times New Roman;serif"/>
                  <w:b w:val="false"/>
                  <w:strike w:val="false"/>
                  <w:dstrike w:val="false"/>
                  <w:color w:val="0000FF"/>
                  <w:sz w:val="20"/>
                  <w:u w:val="none"/>
                  <w:effect w:val="non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5">
              <w:r>
                <w:rPr>
                  <w:rStyle w:val="InternetLink"/>
                  <w:rFonts w:ascii="Times New Roman;serif" w:hAnsi="Times New Roman;serif"/>
                  <w:b w:val="false"/>
                  <w:strike w:val="false"/>
                  <w:dstrike w:val="false"/>
                  <w:color w:val="0000FF"/>
                  <w:sz w:val="20"/>
                  <w:u w:val="none"/>
                  <w:effect w:val="non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45">
              <w:r>
                <w:rPr>
                  <w:rStyle w:val="InternetLink"/>
                  <w:rFonts w:ascii="Times New Roman;serif" w:hAnsi="Times New Roman;serif"/>
                  <w:b w:val="false"/>
                  <w:strike w:val="false"/>
                  <w:dstrike w:val="false"/>
                  <w:color w:val="0000FF"/>
                  <w:sz w:val="20"/>
                  <w:u w:val="none"/>
                  <w:effect w:val="none"/>
                </w:rPr>
                <w:t>44</w:t>
              </w:r>
            </w:hyperlink>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8">
              <w:r>
                <w:rPr>
                  <w:rStyle w:val="InternetLink"/>
                  <w:rFonts w:ascii="Times New Roman;serif" w:hAnsi="Times New Roman;serif"/>
                  <w:b w:val="false"/>
                  <w:strike w:val="false"/>
                  <w:dstrike w:val="false"/>
                  <w:color w:val="0000FF"/>
                  <w:sz w:val="20"/>
                  <w:u w:val="none"/>
                  <w:effect w:val="non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8">
              <w:r>
                <w:rPr>
                  <w:rStyle w:val="InternetLink"/>
                  <w:rFonts w:ascii="Times New Roman;serif" w:hAnsi="Times New Roman;serif"/>
                  <w:b w:val="false"/>
                  <w:strike w:val="false"/>
                  <w:dstrike w:val="false"/>
                  <w:color w:val="0000FF"/>
                  <w:sz w:val="20"/>
                  <w:u w:val="none"/>
                  <w:effect w:val="non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48">
              <w:r>
                <w:rPr>
                  <w:rStyle w:val="InternetLink"/>
                  <w:rFonts w:ascii="Times New Roman;serif" w:hAnsi="Times New Roman;serif"/>
                  <w:b w:val="false"/>
                  <w:strike w:val="false"/>
                  <w:dstrike w:val="false"/>
                  <w:color w:val="0000FF"/>
                  <w:sz w:val="20"/>
                  <w:u w:val="none"/>
                  <w:effect w:val="none"/>
                </w:rPr>
                <w:t>45</w:t>
              </w:r>
            </w:hyperlink>
          </w:p>
        </w:tc>
      </w:tr>
      <w:tr>
        <w:trPr/>
        <w:tc>
          <w:tcPr>
            <w:tcW w:w="954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51">
              <w:r>
                <w:rPr>
                  <w:rStyle w:val="InternetLink"/>
                  <w:rFonts w:ascii="Times New Roman;serif" w:hAnsi="Times New Roman;serif"/>
                  <w:b w:val="false"/>
                  <w:strike w:val="false"/>
                  <w:dstrike w:val="false"/>
                  <w:color w:val="0000FF"/>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51">
              <w:r>
                <w:rPr>
                  <w:rStyle w:val="InternetLink"/>
                  <w:rFonts w:ascii="Times New Roman;serif" w:hAnsi="Times New Roman;serif"/>
                  <w:b w:val="false"/>
                  <w:strike w:val="false"/>
                  <w:dstrike w:val="false"/>
                  <w:color w:val="0000FF"/>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Suja Life, Inc. contains forward-looking statements that are subject to risks and uncertainties. All statements other than statements of historical fact included in this Quarterly Report on Form 10-Q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expected consumer spending, macro-economic and competitive pressures, velocity rates, marketing and distribution initiatives and their benefits, growth rates and future financial results, estimated costs, expenditures, cash flows,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overall decline in the health of the economy and other factors impacting consumer spending;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reduction in demand for and sales of our cold-pressed juices, wellness shots and functional sodas or a decrease in consumer demand for such products generally;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strong competition in the food and beverage retail industry;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success of our marketing strategies and channels at maintaining consumer awareness of our brands, building brand loyalty and generating interest in our products from existing and new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reduction or limited availability of organic fruits, vegetables and other raw materials and ingredients for our juice products or an increase in the price of such materials and ingredients;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real or perceived quality or food safety issues with our products, which may diminish our brands and reputation;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distributor and retail customers for a significant portion of our sales, and our ability to maintain or further develop our sales channels;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our local and regional farming partners and other third-party partners and those third parties’ ability to fulfill their obligations;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our limited suppliers for materials used to package our products, the costs of which have in the past been, and may continue to be, volatile and subject to price increases;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failure by our transportation providers to deliver our products on time, or at all, and problems with our logistics network and arrangements;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manage our future growth effectively;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successfully forecast and manage our inventory at appropriate levels for our demand;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seasonal nature of our business, which may cause our quarterly results to fluctuate and may not be indicative of full-year performance;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damage or disruption at our production facilities in Oceanside, California, where our products are primarily manufactured;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quickly respond to new trends by introducing new products or successfully improving existing products;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develop and maintain our brands and company image;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failure to retain our senior management and key personnel;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advertising inaccuracies and product mislabeling, which may expose us to lawsuits, product recalls or regulatory enforcement 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comply with laws and regulations relating to data privacy, data protection, advertising and consumer protection;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food safety and food-borne illness incidents or other safety concerns, which may expose us to lawsuits, product recalls or regulatory enforcement 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dependence on distributions from Suja Life Holdings, L.P. (“Holdings LP”) to pay our taxes and expenses, including payments under the Tax Receivable Agreement;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controlled by Paine Schwartz Partners (“PSP”), and their interests may conflict with ours or yours in the future;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dual class structure, and the impact that it may have on the market price of our Class A common stock;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success with making acquisitions and integrating newly acquired products or businesses;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potential litigation that could have an adverse effect on our business;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other factors set forth under “Risk Factors” in our final prospectus filed with the U.S. Securities and Exchange Commission (the “SEC”) under Rule 424(b) of the Securities Act of 1933, as amended (the “Securities Act”), on May 8, 2026 (the “Prospectus”) in connection with our initial public offering (“IPO”).</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this Quarterly Report on Form 10-Q, references to the “Company,” “our company,” “we,” “us” and “our” are to (i) prior to the consummation of the organizational transactions described herein, Holdings LP and its consolidated subsidiaries and (ii) after such organizational transactions, Suja Life, Inc. and its consolidated subsidiaries, including Holdings 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SUJA LIFE,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in thousands, except unit and share data)</w:t>
      </w:r>
    </w:p>
    <w:tbl>
      <w:tblPr>
        <w:tblW w:w="10205" w:type="dxa"/>
        <w:jc w:val="center"/>
        <w:tblInd w:w="0" w:type="dxa"/>
        <w:tblLayout w:type="fixed"/>
        <w:tblCellMar>
          <w:top w:w="28" w:type="dxa"/>
          <w:left w:w="28" w:type="dxa"/>
          <w:bottom w:w="28" w:type="dxa"/>
          <w:right w:w="28" w:type="dxa"/>
        </w:tblCellMar>
      </w:tblPr>
      <w:tblGrid>
        <w:gridCol w:w="2813"/>
        <w:gridCol w:w="2342"/>
        <w:gridCol w:w="2321"/>
        <w:gridCol w:w="204"/>
        <w:gridCol w:w="766"/>
        <w:gridCol w:w="113"/>
        <w:gridCol w:w="109"/>
        <w:gridCol w:w="109"/>
        <w:gridCol w:w="109"/>
        <w:gridCol w:w="237"/>
        <w:gridCol w:w="892"/>
        <w:gridCol w:w="190"/>
      </w:tblGrid>
      <w:tr>
        <w:trPr/>
        <w:tc>
          <w:tcPr>
            <w:tcW w:w="2813"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646" w:type="dxa"/>
            <w:gridSpan w:val="6"/>
            <w:tcBorders/>
          </w:tcPr>
          <w:p>
            <w:pPr>
              <w:pStyle w:val="TableContents"/>
              <w:bidi w:val="0"/>
              <w:spacing w:before="0" w:after="283"/>
              <w:jc w:val="left"/>
              <w:rPr>
                <w:sz w:val="4"/>
                <w:szCs w:val="4"/>
              </w:rPr>
            </w:pPr>
            <w:r>
              <w:rPr>
                <w:sz w:val="4"/>
                <w:szCs w:val="4"/>
              </w:rPr>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63,366 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71,154 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 and other intangible assets,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178,463 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transaction costs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419,030 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58,867 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obligations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finance lease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301,157 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230,108 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395,543 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(Note 9)</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A Units authorized, no par value, zero and 222,881 units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B Units authorized, no par value, zero and 18,680 units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C Units, no par value, zero and 200 units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Zero and 4,840 Class D Units, no par value,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E Units authorized, no par value, zero and 1,434 units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F Units, no par value, zero and 1,000 units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- 50,000,000 shares authorized; zero shares issued and outstanding as of June 29, 2026 and December 29, 2025</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 - 500,000,000 shares authorized; 23,788,700 and zero shares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V common stock, $0.0001 par value per share - 100,000,000 shares authorized; 14,836,312 and zero shares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199,244 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(112,142)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partners'/stockholders’ equity</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32,570 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partners'/stockholders’ equity</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419,030 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428,113 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in thousands, except per share data)</w:t>
      </w:r>
    </w:p>
    <w:tbl>
      <w:tblPr>
        <w:tblW w:w="10205" w:type="dxa"/>
        <w:jc w:val="left"/>
        <w:tblInd w:w="0" w:type="dxa"/>
        <w:tblLayout w:type="fixed"/>
        <w:tblCellMar>
          <w:top w:w="28" w:type="dxa"/>
          <w:left w:w="28" w:type="dxa"/>
          <w:bottom w:w="28" w:type="dxa"/>
          <w:right w:w="28" w:type="dxa"/>
        </w:tblCellMar>
      </w:tblPr>
      <w:tblGrid>
        <w:gridCol w:w="1826"/>
        <w:gridCol w:w="1323"/>
        <w:gridCol w:w="1248"/>
        <w:gridCol w:w="227"/>
        <w:gridCol w:w="804"/>
        <w:gridCol w:w="126"/>
        <w:gridCol w:w="120"/>
        <w:gridCol w:w="120"/>
        <w:gridCol w:w="120"/>
        <w:gridCol w:w="237"/>
        <w:gridCol w:w="781"/>
        <w:gridCol w:w="131"/>
        <w:gridCol w:w="109"/>
        <w:gridCol w:w="109"/>
        <w:gridCol w:w="109"/>
        <w:gridCol w:w="225"/>
        <w:gridCol w:w="847"/>
        <w:gridCol w:w="124"/>
        <w:gridCol w:w="120"/>
        <w:gridCol w:w="120"/>
        <w:gridCol w:w="120"/>
        <w:gridCol w:w="225"/>
        <w:gridCol w:w="846"/>
        <w:gridCol w:w="188"/>
      </w:tblGrid>
      <w:tr>
        <w:trPr/>
        <w:tc>
          <w:tcPr>
            <w:tcW w:w="182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(97,632)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(84,739)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77,788 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(68,430)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(20,543)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(28,270)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(19,471)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(27,798)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(5,658)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(20,064)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(6,450)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Suja Life Holdings, LP and subsidiaries through the IPO organizational transactions</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(22,786)</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(15,052)</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Suja Life, Inc.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(3,268)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(3,268)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from May 8, 2026 to June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from May 8, 2026 to June 29, 2026</w:t>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Class A common stock - basic and diluted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308"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02"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Class A common stock outstanding—basic and diluted</w:t>
            </w:r>
          </w:p>
        </w:tc>
        <w:tc>
          <w:tcPr>
            <w:tcW w:w="2535"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23,788,700 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23,788,700 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PARTNERS’/STOCKHOLDERS’ EQUITY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in thousands, except unit and share data)</w:t>
      </w:r>
    </w:p>
    <w:tbl>
      <w:tblPr>
        <w:tblW w:w="16349" w:type="dxa"/>
        <w:jc w:val="center"/>
        <w:tblInd w:w="0" w:type="dxa"/>
        <w:tblLayout w:type="fixed"/>
        <w:tblCellMar>
          <w:top w:w="28" w:type="dxa"/>
          <w:left w:w="28" w:type="dxa"/>
          <w:bottom w:w="28" w:type="dxa"/>
          <w:right w:w="28" w:type="dxa"/>
        </w:tblCellMar>
      </w:tblPr>
      <w:tblGrid>
        <w:gridCol w:w="611"/>
        <w:gridCol w:w="234"/>
        <w:gridCol w:w="236"/>
        <w:gridCol w:w="229"/>
        <w:gridCol w:w="229"/>
        <w:gridCol w:w="233"/>
        <w:gridCol w:w="109"/>
        <w:gridCol w:w="109"/>
        <w:gridCol w:w="109"/>
        <w:gridCol w:w="196"/>
        <w:gridCol w:w="406"/>
        <w:gridCol w:w="109"/>
        <w:gridCol w:w="109"/>
        <w:gridCol w:w="109"/>
        <w:gridCol w:w="109"/>
        <w:gridCol w:w="199"/>
        <w:gridCol w:w="199"/>
        <w:gridCol w:w="203"/>
        <w:gridCol w:w="109"/>
        <w:gridCol w:w="109"/>
        <w:gridCol w:w="109"/>
        <w:gridCol w:w="196"/>
        <w:gridCol w:w="406"/>
        <w:gridCol w:w="109"/>
        <w:gridCol w:w="109"/>
        <w:gridCol w:w="109"/>
        <w:gridCol w:w="109"/>
        <w:gridCol w:w="160"/>
        <w:gridCol w:w="160"/>
        <w:gridCol w:w="161"/>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511"/>
        <w:gridCol w:w="327"/>
        <w:gridCol w:w="196"/>
        <w:gridCol w:w="406"/>
        <w:gridCol w:w="109"/>
        <w:gridCol w:w="327"/>
        <w:gridCol w:w="196"/>
        <w:gridCol w:w="751"/>
        <w:gridCol w:w="109"/>
        <w:gridCol w:w="327"/>
        <w:gridCol w:w="213"/>
        <w:gridCol w:w="719"/>
        <w:gridCol w:w="119"/>
        <w:gridCol w:w="327"/>
        <w:gridCol w:w="196"/>
        <w:gridCol w:w="66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Partners’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 30,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(88,805)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 31, 2025</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(89,597)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 30, 2025</w:t>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144,432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(95,107)</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49,325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354" w:type="dxa"/>
        <w:jc w:val="center"/>
        <w:tblInd w:w="0" w:type="dxa"/>
        <w:tblLayout w:type="fixed"/>
        <w:tblCellMar>
          <w:top w:w="28" w:type="dxa"/>
          <w:left w:w="28" w:type="dxa"/>
          <w:bottom w:w="28" w:type="dxa"/>
          <w:right w:w="28" w:type="dxa"/>
        </w:tblCellMar>
      </w:tblPr>
      <w:tblGrid>
        <w:gridCol w:w="611"/>
        <w:gridCol w:w="234"/>
        <w:gridCol w:w="236"/>
        <w:gridCol w:w="229"/>
        <w:gridCol w:w="229"/>
        <w:gridCol w:w="233"/>
        <w:gridCol w:w="109"/>
        <w:gridCol w:w="109"/>
        <w:gridCol w:w="109"/>
        <w:gridCol w:w="196"/>
        <w:gridCol w:w="406"/>
        <w:gridCol w:w="109"/>
        <w:gridCol w:w="109"/>
        <w:gridCol w:w="109"/>
        <w:gridCol w:w="109"/>
        <w:gridCol w:w="199"/>
        <w:gridCol w:w="199"/>
        <w:gridCol w:w="203"/>
        <w:gridCol w:w="109"/>
        <w:gridCol w:w="109"/>
        <w:gridCol w:w="109"/>
        <w:gridCol w:w="196"/>
        <w:gridCol w:w="406"/>
        <w:gridCol w:w="109"/>
        <w:gridCol w:w="109"/>
        <w:gridCol w:w="109"/>
        <w:gridCol w:w="109"/>
        <w:gridCol w:w="160"/>
        <w:gridCol w:w="160"/>
        <w:gridCol w:w="161"/>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511"/>
        <w:gridCol w:w="327"/>
        <w:gridCol w:w="196"/>
        <w:gridCol w:w="406"/>
        <w:gridCol w:w="109"/>
        <w:gridCol w:w="327"/>
        <w:gridCol w:w="196"/>
        <w:gridCol w:w="751"/>
        <w:gridCol w:w="109"/>
        <w:gridCol w:w="327"/>
        <w:gridCol w:w="196"/>
        <w:gridCol w:w="751"/>
        <w:gridCol w:w="109"/>
        <w:gridCol w:w="327"/>
        <w:gridCol w:w="196"/>
        <w:gridCol w:w="66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 29, 2025</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compensation</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 30, 2026</w:t>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222,881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144,852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(104,408)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40,444</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5799" w:type="dxa"/>
        <w:jc w:val="center"/>
        <w:tblInd w:w="0" w:type="dxa"/>
        <w:tblLayout w:type="fixed"/>
        <w:tblCellMar>
          <w:top w:w="28" w:type="dxa"/>
          <w:left w:w="28" w:type="dxa"/>
          <w:bottom w:w="28" w:type="dxa"/>
          <w:right w:w="28" w:type="dxa"/>
        </w:tblCellMar>
      </w:tblPr>
      <w:tblGrid>
        <w:gridCol w:w="775"/>
        <w:gridCol w:w="220"/>
        <w:gridCol w:w="221"/>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487"/>
        <w:gridCol w:w="489"/>
        <w:gridCol w:w="196"/>
        <w:gridCol w:w="109"/>
        <w:gridCol w:w="109"/>
        <w:gridCol w:w="109"/>
        <w:gridCol w:w="196"/>
        <w:gridCol w:w="406"/>
        <w:gridCol w:w="109"/>
        <w:gridCol w:w="109"/>
        <w:gridCol w:w="109"/>
        <w:gridCol w:w="109"/>
        <w:gridCol w:w="487"/>
        <w:gridCol w:w="489"/>
        <w:gridCol w:w="196"/>
        <w:gridCol w:w="109"/>
        <w:gridCol w:w="109"/>
        <w:gridCol w:w="109"/>
        <w:gridCol w:w="196"/>
        <w:gridCol w:w="406"/>
        <w:gridCol w:w="109"/>
        <w:gridCol w:w="109"/>
        <w:gridCol w:w="109"/>
        <w:gridCol w:w="109"/>
        <w:gridCol w:w="196"/>
        <w:gridCol w:w="751"/>
        <w:gridCol w:w="109"/>
        <w:gridCol w:w="109"/>
        <w:gridCol w:w="109"/>
        <w:gridCol w:w="109"/>
        <w:gridCol w:w="213"/>
        <w:gridCol w:w="719"/>
        <w:gridCol w:w="119"/>
        <w:gridCol w:w="109"/>
        <w:gridCol w:w="109"/>
        <w:gridCol w:w="109"/>
        <w:gridCol w:w="255"/>
        <w:gridCol w:w="862"/>
        <w:gridCol w:w="144"/>
        <w:gridCol w:w="109"/>
        <w:gridCol w:w="109"/>
        <w:gridCol w:w="109"/>
        <w:gridCol w:w="196"/>
        <w:gridCol w:w="751"/>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Life,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Life Holdings, L.P. and Subsidiaries (Prior to IPO organizational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V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40,444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prior to the IPO organizational transactions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recognized prior to the IPO organizational transactions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incentive units prior to the IPO organizational transactions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the IPO organizational transactions on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14,899,811 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14,836,312 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in the IPO, net of underwriting discount and offering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8,888,889 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Holdings LP units in connection with the IPO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deferred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subsequent to the IPO organizational transactions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subsequent to the IPO organizational transactions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29,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23,788,700</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14,836,312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199,244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(81,605)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71,280</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188,922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98780"/>
                <wp:effectExtent l="0" t="0" r="0" b="0"/>
                <wp:wrapNone/>
                <wp:docPr id="7" name="Frame7"/>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in thousands)</w:t>
      </w:r>
    </w:p>
    <w:tbl>
      <w:tblPr>
        <w:tblW w:w="8397" w:type="dxa"/>
        <w:jc w:val="center"/>
        <w:tblInd w:w="0" w:type="dxa"/>
        <w:tblLayout w:type="fixed"/>
        <w:tblCellMar>
          <w:top w:w="28" w:type="dxa"/>
          <w:left w:w="28" w:type="dxa"/>
          <w:bottom w:w="28" w:type="dxa"/>
          <w:right w:w="28" w:type="dxa"/>
        </w:tblCellMar>
      </w:tblPr>
      <w:tblGrid>
        <w:gridCol w:w="2088"/>
        <w:gridCol w:w="1836"/>
        <w:gridCol w:w="1851"/>
        <w:gridCol w:w="215"/>
        <w:gridCol w:w="791"/>
        <w:gridCol w:w="119"/>
        <w:gridCol w:w="109"/>
        <w:gridCol w:w="109"/>
        <w:gridCol w:w="109"/>
        <w:gridCol w:w="230"/>
        <w:gridCol w:w="759"/>
        <w:gridCol w:w="181"/>
      </w:tblGrid>
      <w:tr>
        <w:trPr/>
        <w:tc>
          <w:tcPr>
            <w:tcW w:w="208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on financing leases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debt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transaction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financing lease obligations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term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on debt extinguishment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revolver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IPO, net underwriting discounts and offering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164,829 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settlement of incentive units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9,167 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included in accounts payable for equipment purchased</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arising from obtaining operating lease assets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98780"/>
                <wp:effectExtent l="0" t="0" r="0" b="0"/>
                <wp:wrapNone/>
                <wp:docPr id="8" name="Frame8"/>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Suja Life, Inc. (the “Company”) was formed as a Delaware corporation on October 8, 2025. The Company was formed for the purpose of completing a public offering and related transactions in order to carry on the business of Suja Life Holdings, L.P. and subsidiaries (the “Holdings LP”). The Company is the sole general partner of Holdings LP, and operates and controls all of the businesses and affairs of Holdings LP and its subsidiaries. The Company produces and distributes cold-pressed fresh juice for wholesale and retail sales. The Company is headquartered in Oceanside, California. The Company’s fiscal year is a 52-53 week year ending on the Monday closest to December 31 each year.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8, 2026, the Company consummated its initial public offering (“IPO”) in which 8,888,889 shares of Class A common stock, par value $0.0001 per share (“Class A common stock”), were offered at a price of $21.00 per share. The IPO resulted in gross proceeds of $186.7 million, and net proceeds of $173.6 million, after deducting the underwriting discount of $13.1 million, and before deducting offering expenses payable by the Company.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Use of proceeds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proceeds from the IPO were used to purchase 8,888,889 newly issued Class A common units (the “LP Units”) in Holdings LP at a purchase price per LP Unit equal to the initial offering price per share of Class A common stock in the IPO, less the underwriting discounts. In turn, Holdings LP applied the proceeds it received and $1.4 million of cash on hand, (i) to repay $142.6 million of outstanding borrowings, (ii) to pay $17.5 million in cash payments to certain employees in connection with the settlement of time-based vesting incentive units, in partial satisfaction of certain transaction bonus agreements and in connection with celebratory cash awards in respect of the consummation of the IPO, and (iii) to pay $14.9 million of expenses incurred in connection with the IPO and the related organizational transactions.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Organizational Transactions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existing limited partnership agreement (the “LP Agreement”) of Holdings LP was amended and restated to, among other things, (i) recapitalize all existing ownership interests in Holdings LP held by the existing owners of Holdings LP into a single class of common units; and (ii) appoint the Company as the sole general partner of Holdings LP.</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7, 2026, the Company amended and restated its certificate of incorporation to, among other things, provide: (i) for Class A common stock, with each share of its Class A common stock entitling its holder to one vote per share on all matters presented to stockholders generally and with economic rights; and (ii) for Class V common stock, par value $0.0001 per share (“Class V common stock”), with each share of Class V common stock entitling its holder to one vote per share on all matters presented to stockholders generally with no economic rights. No shares of Class V common stock may be held by any person other than the continuing equity owners of Holdings LP and their respective permitted transferees.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the Company acquired, directly or indirectly, through a series of transactions which may have included one or more contributions, mergers, or otherwise, LP Units owned by various entities, and in exchange therefor the owners of the LP Units received, directly or indirectly, newly issued shares of Class A common stock.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accordance with the exchange agreement entered into in connection with the organizational transactions (the “Exchange Agreement”), the holders of LP Units may exchange their LP Units, together with an equal number of shares of Class V common stock, for shares of Class A common stock on a one-for-one basis or, at the Company’s election, for cash from a substantially concurrent public offering or private sale of shares of Class A common stock (based on the price of Class A common stock in such public offering or private sale). Any shares of Class V common stock so delivered will be cancelled.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IPO, the Company conducted certain operations through wholly owned subsidiaries that were subject to U.S. federal and state income taxes. These included Vive Buyer, Inc. (“Vive”), which was acquired on October 11, 2022, and Slice Life Holdings, LLC, which was formed on December 30, 2024. As a result, the Company recorded a provision for income taxes related to these taxable entities. After the consummation of the IPO, the Company is subject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state and local income taxes with respect to its allocable share of taxable income of Holdings LP assessed at the prevailing corporate tax rates. Holdings LP operates as a limited partnership for income tax purposes. Accordingly, the Company incurs federal and state income taxes for its portion of the taxable income or loss generated by Holdings LP.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The Company recognizes deferred tax assets to the extent that it believes these assets are more likely than not to be realized. In making such a determination, the Company considers all positive and negative evidence, including but not limited to future reversals of existing taxable temporary differences, projected future taxable income, tax planning strategies and recent results of operations. A valuation allowance is provided if it is determined that it is more likely than not that the deferred tax asset will not be realized.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evaluates and accounts for uncertain tax positions using a two-step approach. Recognition (step one) occurs when the Company concludes that a tax position, based solely on its technical merits, is more likely than not to be sustainable upon examination. Measurement (step two) determines the amount of benefit that is greater than 50% likely to be realized upon ultimate settlement with a taxing authority that has full knowledge of all relevant information. Derecognition of a tax position that was previously recognized would occur when the Company subsequently determines that a tax position no longer meets the more likely-than-not threshold of being sustained or if a change in facts supports a change in measurement. The Company records interest (and penalties where applicable), net of any applicable related income tax benefit, on potential income tax contingencies as a component of income tax provision. The Company did not have any uncertain tax position as of June 29, 2026.</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the Company and Holdings LP entered into a tax receivable agreement (the “Tax Receivable Agreement or “TRA”) with certain direct or indirect owners of Holdings LP, including PSP (such persons, collectively, the “TRA Parties”), which requires the Company to pay such persons 85% of the amount of cash savings, if any, in U.S. federal, state, and local income taxes that the Company realizes or is deemed to realize in certain circumstances (computed using certain assumptions) as a result of certain tax attributes and benefits covered by the Tax Receivable Agreement. Such tax attributes and benefits include: (i) certain increases in the tax basis of assets of Holdings LP and its subsidiaries resulting from exchanges (or deemed exchanges in certain circumstances) of LP Units, together with an equal number of shares of Class V common stock, for shares of Class A common stock on a one-to-one basis or, at the Company’s election, for cash pursuant to the Exchange Agreement and certain distributions (or deemed distributions) by Holdings LP, (ii) certain tax attributes of the current or former holders of equity interests in Holdings LP, and (iii) certain other tax benefits related to entering into the Tax Receivable Agreement, including tax benefits attributable to payments that the Company is required to make under the Tax Receivable Agreement. A full valuation allowance has not been recorded against the deferred tax assets because it is not more likely than not that the Company will realize the underlying tax savings that would give rise to obligations under the Tax Receivable Agreement. Accordingly, no Tax Receivable Agreement-related liability has been recorded on the consolidated balance sheet as of June 29, 2026. The Tax Receivable Agreement will be reassessed each reporting period consistent with the valuation allowance assessment. If determined that it is more likely than not that the underlying tax benefits will be realized, we will at that time record both the deferred tax asset (net of valuation allowance released) and a corresponding Tax Receivable Agreement-related liability equal to 85% of the estimated realizable tax benefit. Any such recognition would be reflected in income at the time of reassessment.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potential obligation under the Tax Receivable Agreement, assuming full realization of all covered tax attributes at current tax rates, is approximately $163.6 million based on the estimate of the aggregate amount that would be paid to the TRA Parties under the Tax Receivable Agreement as a result of the organizational transactions. Actual amounts payable, if any, will vary depending on a number of factors, including on the amount and timing of our future taxable income, the price per share of the Class A common stock at the time of any future exchanges, the extent to which such exchanges are taxable, and applicable tax rates (including changes to tax rates). In certain circumstances, the Company may be required to make an immediate payment equal to the present value of the anticipated future cash tax savings, based on certain assumptions. Such payment may be made significantly in advance of the actual realization, if any, of such future tax benefits and may be greater than or less than 85% of the actual cash tax savings ultimately realized in respect of the tax attributes that are subject to the Tax Receivable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Common Control Reorganization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Holdings LP meets the definition of a variable interest entity (“VIE”). The Company is considered the primary beneficiary due to its sole decision-making authority with respect to, and control of, Holdings LP and its obligation to absorb losses and receive benefits from the operations of Holdings LP.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the owners of Holdings LP prior to the IPO continue to control both the Company and Holdings LP after the IPO, the reorganization is accounted for as a reorganization of entities under common control. The condensed consolidated financial statements of the Company recognize the assets and liabilities received in the reorganization at their historical carrying amounts, reflected in the historical condensed consolidated financial statements of Holdings LP. Holdings LP is considered the predecessor of the Company for accounting purposes.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LP Units owned by LP unitholders are considered noncontrolling interests in the condensed consolidated financial statements of the Company prior to the completion of the organizational transactions and the IPO.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generally accepted accounting principles in the United States of America (“GAAP”). The accompanying financial statements include the consolidated accounts of the Company and its subsidiaries. The Company consolidates those entities it controls through a wholly owned interest.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period from December 31, 2024 to December 29, 2025 (or year ended December 29, 2025) and the period from December 30, 2025 to December 28, 2026 (or year ended December 28, 2026) both have four equal 13-week fiscal quarters, resulting in a 52 week year. </w:t>
      </w:r>
    </w:p>
    <w:p>
      <w:pPr>
        <w:pStyle w:val="TextBody"/>
        <w:bidi w:val="0"/>
        <w:spacing w:lineRule="auto" w:line="288" w:before="0" w:after="160"/>
        <w:jc w:val="left"/>
        <w:rPr/>
      </w:pPr>
      <w:r>
        <w:rPr>
          <w:rFonts w:ascii="Times New Roman;serif" w:hAnsi="Times New Roman;serif"/>
          <w:b w:val="false"/>
          <w:color w:val="000000"/>
          <w:sz w:val="20"/>
        </w:rPr>
        <w:t>Unless oth</w:t>
      </w:r>
      <w:r>
        <w:rPr>
          <w:rFonts w:ascii="Times New Roman;serif" w:hAnsi="Times New Roman;serif"/>
          <w:b w:val="false"/>
          <w:color w:val="181717"/>
          <w:sz w:val="20"/>
        </w:rPr>
        <w:t xml:space="preserve">erwise noted, any reference to a year preceded by the word “fiscal” refers to the fiscal year ended the Monday closest to December 31 for that year. For example, references to “fiscal 2026” refer to the fiscal year ended December 28, 2026 and references to “fiscal 2025” refer to the fiscal year ended December 29, 2025.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accounting policies followed in the presentation of interim financial results are consistent with those followed on an annual basis. These policies are presented in Note 1 - Nature of Business and Significant Accounting Policies to the Company’s consolidated financial statements for the year ended December 29, 2025 issued on March 20,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for consistency with the current year presentation. These reclassifications had no effect on the reported results of operations.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interim condensed consolidated financial statements in accordance with the rules and regulations of the United States Securities and Exchange Commission (“SEC”) for interim financial information and the applicable accounting guidance. Accordingly, these financial statements do not necessarily include all information and footnotes required for audited financial statements prepared in conformity with U.S. GAAP.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Consolidated Financial Statements for the year ended December 29, 2025. The interim financial information contained in this report is not necessarily indicative of the results to be expected for any other interim period or for the entire fiscal year.</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its subsidiaries, including Holdings LP. All intercompany transactions and balances have been eliminated in consolidation.</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disclosure of contingent assets and liabilities at the date of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follows Accounting Standards Codification (“ASC”) Topic 820, Fair Value Measurement (“ASC 820”). ASC 820 defines fair value as the price that would be received to sell an asset or paid to transfer a liability in an orderly transaction between market participants at the measurement date. The determination of fair value is based on the principal or most advantageous market in which the Company could participate and considers assumptions that market participants would use when pricing the asset or liability, such as inherent risk, transfer restrictions, and risk of nonperformance. Also, determination of fair value assumes that market participants will consider the highest and best use of the asset.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uses the hierarchy prescribed in ASC 820 for fair value measurements, based on the available inputs to the valuation and the degree to which they are observable or not observable in the market.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three levels of the hierarchy are as follows: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Level 1 Inputs - Unadjusted quoted prices in active markets for identical assets or liabilities accessible to the reporting entity at the measurement date; and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Level 2 Inputs -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 and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Level 3 Inputs - Unobservable inputs for the asset or liability used to measure fair value. These inputs reflect the Company’s own assumptions about what other market participants would use in pricing the asset or liability. These are based on the best information available and can include the Company’s own data.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fair value of the financial assets and liabilities are included at the amount at which the instrument could be exchanged in a current transaction between willing parties, other than in a forced or liquidation sale.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has assessed that the fair value of cash and restricted cash, trade receivables, accounts payable, other current liabilities, and other debt approximates their carrying amounts largely due to the short-term maturities or recent commencement of these instruments.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performance obligations under the terms of contracts with the Company’s customers are satisfied. The Company’s performance obligation under the contract, a customer sales order, generally consists of the sale of finished product to customers. Revenue is recognized at the point in time when control of the product transfers, which the Company has determined is the date at which the product is received by the customer. The Company’s sales terms generally do not allow for a right of return except in the case of spoiled or otherwise defective product. Payment is typically collected from customers within 30 days of the date of sale.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Sales are presented net of sales promotions, coupons and allowances within the condensed consolidated statements of operations. Sales promotions, coupons, and allowances primarily consist of consumer coupon redemption, contractual trade promotions, early pay discounts, and other costs, including estimated allowances for spoiled product. The Company estimates the amount of spoiled product based on historical fact pattern as well as defined contract terms then accrues as a reduction of revenue in the period in which the related product revenue is recognized.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measured as the amount of consideration the Company expects to receive in exchange for transferring products to customers. The Company includes variable consideration in the transaction price to the extent it is probable that a significant reversal of revenue will not occur when the uncertainty associated with the variable consideration is subsequently resolved.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customers may include variable consideration in the form of rebates, discounts, sales promotions, and other similar items. The Company estimates variable consideration using either the expected value method or the most likely amount method, depending on which approach better predicts the amount of consideration to which it expects to be entitled.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Estimated variable consideration is included in the transaction price only to the extent that it is probable that a significant reversal of cumulative revenue recognized will not occur when the uncertainty associated with the variable consideration is subsequently resolved. This assessment is based on historical experience, current conditions, and the specific terms of individual customer arrangements. The amount of consideration the Company receives and revenue the Company recognizes varies with changes in incentives offered to its customers and their customers. The Company adjusts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estimate of revenue at the earlier of when the amount of consideration the Company expects to receive changes or when the consideration becomes fixed.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are reported net of sales, use, excise, and other similar tax amounts collected from customers and remitted to governmental authorities. Shipping and handling costs associated with outbound freight after control over a product has transferred to a customer are accounted for as fulfillment costs, are accrued at time of delivery, and are included in operating expenses in the condensed consolidated statements of operations. The Company recorded $5.8 million and $4.9 million of such costs during the three months ended June 29, 2026 and June 30, 2025, respectively, and $12.7 million and $10.2 million of such costs during the six months ended June 29, 2026 and June 30, 2025, respectively.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Advertising and Marketing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Advertising and marketing costs are expensed as incurred within operating expenses on the condensed consolidated statements of operations and totaled approximately $7.9 million and $11.0 million during the three months ended June 29, 2026 and June 30, 2025, respectively, and $18.8 million and $21.0 million during the six months ended June 29, 2026 and June 30, 2025, respectively.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introducing changes to income tax disclosures, primarily relating to effective tax rates and cash paid for taxes. This ASU requires companies to provide an annual rate reconciliation in both dollar figures and percentages, and changes the way annual income taxes paid are disclosed by all entities, necessitating a breakdown by federal, state, and foreign jurisdictions. The standard becomes effective for public business entities for fiscal years beginning after December 15, 2024 and December 15, 2025 for all other entities. ASU 2023-09 may be applied prospectively or retrospectively, and allows for early adoption. The Company does not intend to early adopt ASU 2023-09. The impact of adoption is subject to the disclosure requirements of ASC 740, Income Taxes. The Company plans to adopt the standard for the fiscal year ended December 28,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which was further clarified by ASU 2025-01 in January 2025. These standards enhance expense disclosures by requiring more detailed information on the types of expenses included in certain captions within the consolidated financial statements, including employee compensation, depreciation, amortization, and costs incurred related to inventory and manufacturing activities in income statement expense captions such as cost of sales and selling, general and administrative expenses. The guidance is effective for fiscal years beginning after December 15, 2026, including interim periods within fiscal years beginning after December 15, 2027. The Company plans to adopt the standard for the fiscal year ended December 27, 2027. The Company will apply the new guidance on a prospective basis and expects ASU 2024-03 and ASU 2025-01 to impact only disclosures with no effect on the Company’s financial condition, results of operations or cash flows.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 Use Software (Subtopic 350-40): Targeted Improvements to the Accounting for Internal-Use Software, which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ASU No. 2025-06 is effective for annual periods beginning after December 15, 2027. The guidance is to be applied on a prospective basis, or on a modified transition approach or a retrospective transition approach; this ASU allows for early adoption. The Company is assessing the effect of this update on its consolidated financial statements and related disclosures and does not expect to adopt early.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Concentration of Credit Risk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major customers are defined as those individually comprising more than 10% of net sales or trade receivables.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Customers that accounted for 10% or more of the Company’s net sales as follows:</w:t>
      </w:r>
    </w:p>
    <w:tbl>
      <w:tblPr>
        <w:tblW w:w="8060" w:type="dxa"/>
        <w:jc w:val="left"/>
        <w:tblInd w:w="0" w:type="dxa"/>
        <w:tblLayout w:type="fixed"/>
        <w:tblCellMar>
          <w:top w:w="28" w:type="dxa"/>
          <w:left w:w="28" w:type="dxa"/>
          <w:bottom w:w="28" w:type="dxa"/>
          <w:right w:w="28" w:type="dxa"/>
        </w:tblCellMar>
      </w:tblPr>
      <w:tblGrid>
        <w:gridCol w:w="461"/>
        <w:gridCol w:w="406"/>
        <w:gridCol w:w="408"/>
        <w:gridCol w:w="109"/>
        <w:gridCol w:w="293"/>
        <w:gridCol w:w="990"/>
        <w:gridCol w:w="163"/>
        <w:gridCol w:w="163"/>
        <w:gridCol w:w="163"/>
        <w:gridCol w:w="163"/>
        <w:gridCol w:w="260"/>
        <w:gridCol w:w="260"/>
        <w:gridCol w:w="649"/>
        <w:gridCol w:w="109"/>
        <w:gridCol w:w="109"/>
        <w:gridCol w:w="109"/>
        <w:gridCol w:w="109"/>
        <w:gridCol w:w="291"/>
        <w:gridCol w:w="982"/>
        <w:gridCol w:w="162"/>
        <w:gridCol w:w="162"/>
        <w:gridCol w:w="162"/>
        <w:gridCol w:w="162"/>
        <w:gridCol w:w="248"/>
        <w:gridCol w:w="248"/>
        <w:gridCol w:w="719"/>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B</w:t>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C</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29,020</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w:t>
            </w:r>
            <w:r>
              <w:rPr>
                <w:color w:val="000000"/>
              </w:rPr>
              <w:t> </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32,400</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w:t>
            </w:r>
            <w:r>
              <w:rPr>
                <w:color w:val="000000"/>
              </w:rPr>
              <w:t> </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tbl>
      <w:tblPr>
        <w:tblW w:w="7779" w:type="dxa"/>
        <w:jc w:val="left"/>
        <w:tblInd w:w="0" w:type="dxa"/>
        <w:tblLayout w:type="fixed"/>
        <w:tblCellMar>
          <w:top w:w="28" w:type="dxa"/>
          <w:left w:w="28" w:type="dxa"/>
          <w:bottom w:w="28" w:type="dxa"/>
          <w:right w:w="28" w:type="dxa"/>
        </w:tblCellMar>
      </w:tblPr>
      <w:tblGrid>
        <w:gridCol w:w="461"/>
        <w:gridCol w:w="406"/>
        <w:gridCol w:w="408"/>
        <w:gridCol w:w="109"/>
        <w:gridCol w:w="272"/>
        <w:gridCol w:w="918"/>
        <w:gridCol w:w="151"/>
        <w:gridCol w:w="151"/>
        <w:gridCol w:w="151"/>
        <w:gridCol w:w="151"/>
        <w:gridCol w:w="260"/>
        <w:gridCol w:w="260"/>
        <w:gridCol w:w="649"/>
        <w:gridCol w:w="109"/>
        <w:gridCol w:w="109"/>
        <w:gridCol w:w="109"/>
        <w:gridCol w:w="109"/>
        <w:gridCol w:w="270"/>
        <w:gridCol w:w="912"/>
        <w:gridCol w:w="150"/>
        <w:gridCol w:w="150"/>
        <w:gridCol w:w="150"/>
        <w:gridCol w:w="150"/>
        <w:gridCol w:w="247"/>
        <w:gridCol w:w="247"/>
        <w:gridCol w:w="72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55,396</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w:t>
            </w:r>
            <w:r>
              <w:rPr>
                <w:color w:val="000000"/>
              </w:rPr>
              <w:t> </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51,978</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customers making up more than 10% of the Company’s net sales are in the Suja Core segment, while all customers have an immaterial amount of sales in the 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Customers that accounted for 10% or more of the Company’s total trade receivables, net as follows:</w:t>
      </w:r>
    </w:p>
    <w:tbl>
      <w:tblPr>
        <w:tblW w:w="8716" w:type="dxa"/>
        <w:jc w:val="left"/>
        <w:tblInd w:w="0" w:type="dxa"/>
        <w:tblLayout w:type="fixed"/>
        <w:tblCellMar>
          <w:top w:w="28" w:type="dxa"/>
          <w:left w:w="28" w:type="dxa"/>
          <w:bottom w:w="28" w:type="dxa"/>
          <w:right w:w="28" w:type="dxa"/>
        </w:tblCellMar>
      </w:tblPr>
      <w:tblGrid>
        <w:gridCol w:w="461"/>
        <w:gridCol w:w="406"/>
        <w:gridCol w:w="408"/>
        <w:gridCol w:w="109"/>
        <w:gridCol w:w="109"/>
        <w:gridCol w:w="211"/>
        <w:gridCol w:w="616"/>
        <w:gridCol w:w="117"/>
        <w:gridCol w:w="109"/>
        <w:gridCol w:w="109"/>
        <w:gridCol w:w="109"/>
        <w:gridCol w:w="466"/>
        <w:gridCol w:w="466"/>
        <w:gridCol w:w="1168"/>
        <w:gridCol w:w="109"/>
        <w:gridCol w:w="109"/>
        <w:gridCol w:w="109"/>
        <w:gridCol w:w="109"/>
        <w:gridCol w:w="211"/>
        <w:gridCol w:w="616"/>
        <w:gridCol w:w="117"/>
        <w:gridCol w:w="109"/>
        <w:gridCol w:w="109"/>
        <w:gridCol w:w="109"/>
        <w:gridCol w:w="437"/>
        <w:gridCol w:w="437"/>
        <w:gridCol w:w="127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Trade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Trade receivables, 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8,216</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w:t>
            </w:r>
            <w:r>
              <w:rPr>
                <w:color w:val="000000"/>
              </w:rPr>
              <w:t> </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6,184</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w:t>
            </w:r>
            <w:r>
              <w:rPr>
                <w:color w:val="000000"/>
              </w:rPr>
              <w:t> </w:t>
            </w:r>
          </w:p>
        </w:tc>
        <w:tc>
          <w:tcPr>
            <w:tcW w:w="1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**Customer receivables did not represent greater than or equal to 10% of trade receivables, net as of the dates presented.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customers making up more than 10% of the Company’s trade receivables are in the Suja Core segment, while all customers have an immaterial amount of trade receivables in the Emerging Brands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3 — Inventories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w:t>
      </w:r>
    </w:p>
    <w:tbl>
      <w:tblPr>
        <w:tblW w:w="5288" w:type="dxa"/>
        <w:jc w:val="left"/>
        <w:tblInd w:w="0" w:type="dxa"/>
        <w:tblLayout w:type="fixed"/>
        <w:tblCellMar>
          <w:top w:w="28" w:type="dxa"/>
          <w:left w:w="28" w:type="dxa"/>
          <w:bottom w:w="28" w:type="dxa"/>
          <w:right w:w="28" w:type="dxa"/>
        </w:tblCellMar>
      </w:tblPr>
      <w:tblGrid>
        <w:gridCol w:w="710"/>
        <w:gridCol w:w="626"/>
        <w:gridCol w:w="629"/>
        <w:gridCol w:w="109"/>
        <w:gridCol w:w="109"/>
        <w:gridCol w:w="228"/>
        <w:gridCol w:w="770"/>
        <w:gridCol w:w="127"/>
        <w:gridCol w:w="109"/>
        <w:gridCol w:w="109"/>
        <w:gridCol w:w="109"/>
        <w:gridCol w:w="109"/>
        <w:gridCol w:w="299"/>
        <w:gridCol w:w="1010"/>
        <w:gridCol w:w="235"/>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Ingredients and packaging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Finished goods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23,680</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22,412</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substantial or unusual impairments or disposals on inventories during the six months ended June 29,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4 — Property and Equipment, net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182" w:type="dxa"/>
        <w:jc w:val="left"/>
        <w:tblInd w:w="0" w:type="dxa"/>
        <w:tblLayout w:type="fixed"/>
        <w:tblCellMar>
          <w:top w:w="28" w:type="dxa"/>
          <w:left w:w="28" w:type="dxa"/>
          <w:bottom w:w="28" w:type="dxa"/>
          <w:right w:w="28" w:type="dxa"/>
        </w:tblCellMar>
      </w:tblPr>
      <w:tblGrid>
        <w:gridCol w:w="830"/>
        <w:gridCol w:w="731"/>
        <w:gridCol w:w="734"/>
        <w:gridCol w:w="109"/>
        <w:gridCol w:w="228"/>
        <w:gridCol w:w="770"/>
        <w:gridCol w:w="127"/>
        <w:gridCol w:w="109"/>
        <w:gridCol w:w="299"/>
        <w:gridCol w:w="1010"/>
        <w:gridCol w:w="235"/>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Machinery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52,271 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38,832 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15,182 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15,415 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furniture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 use software</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69,283 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56,080 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(24,794)</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34,623 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11,048 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55,354</w:t>
            </w:r>
            <w:r>
              <w:rPr>
                <w:color w:val="000000"/>
              </w:rPr>
              <w:t>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45,671</w:t>
            </w:r>
            <w:r>
              <w:rPr>
                <w:color w:val="000000"/>
              </w:rPr>
              <w:t> </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Depreciation expense totaled $1.9 million and $1.3 million for the three months ended June 29, 2026 and June 30, 2025, respectively. For the three months ended June 29, 2026 and June 30, 2025, depreciation expense included in cost of sales totaled $1.7 million and $1.1 million, respectively. For the three months ended June 29, 2026 and June 30, 2025, depreciation expense included in operating expenses totaled $0.3 million and $0.3 million, respectively.</w:t>
      </w:r>
    </w:p>
    <w:p>
      <w:pPr>
        <w:pStyle w:val="TextBody"/>
        <w:bidi w:val="0"/>
        <w:spacing w:lineRule="auto" w:line="288" w:before="0" w:after="160"/>
        <w:jc w:val="left"/>
        <w:rPr/>
      </w:pPr>
      <w:r>
        <w:rPr>
          <w:rFonts w:ascii="Times New Roman;serif" w:hAnsi="Times New Roman;serif"/>
          <w:b w:val="false"/>
          <w:color w:val="000000"/>
          <w:sz w:val="20"/>
        </w:rPr>
        <w:t>Depreciation expense totaled $3.5 million and $2.7 million for the six months ended June 29, 2026 and June 30, 2025, respectively. For the six months ended June 29, 2026 and June 30, 2025, depreciation expense included in cost of sales totaled $3.0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$2.2 million, respectively. For the six months ended June 29, 2026 and June 30, 2025, depreciation expense included in operating expenses totaled $0.5 million</w:t>
      </w:r>
      <w:r>
        <w:rPr>
          <w:color w:val="000000"/>
        </w:rPr>
        <w:t xml:space="preserve"> </w:t>
      </w:r>
      <w:r>
        <w:rPr>
          <w:rFonts w:ascii="Times New Roman;serif" w:hAnsi="Times New Roman;serif"/>
          <w:b w:val="false"/>
          <w:color w:val="000000"/>
          <w:sz w:val="20"/>
        </w:rPr>
        <w:t>and $0.5 million, respectively.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There were no impairments on property and equipment during the three and six months ended June 29, 2026 and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5 — Goodwill and Intangible Assets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Goodwill consists of the following:</w:t>
      </w:r>
    </w:p>
    <w:tbl>
      <w:tblPr>
        <w:tblW w:w="3778" w:type="dxa"/>
        <w:jc w:val="left"/>
        <w:tblInd w:w="0" w:type="dxa"/>
        <w:tblLayout w:type="fixed"/>
        <w:tblCellMar>
          <w:top w:w="28" w:type="dxa"/>
          <w:left w:w="28" w:type="dxa"/>
          <w:bottom w:w="28" w:type="dxa"/>
          <w:right w:w="28" w:type="dxa"/>
        </w:tblCellMar>
      </w:tblPr>
      <w:tblGrid>
        <w:gridCol w:w="889"/>
        <w:gridCol w:w="783"/>
        <w:gridCol w:w="787"/>
        <w:gridCol w:w="109"/>
        <w:gridCol w:w="109"/>
        <w:gridCol w:w="196"/>
        <w:gridCol w:w="75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Acquisitions/impairments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Balance as of December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Acquisitions/impairments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Balance as of June 29,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106,201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Trade name and other intangible assets, net consist of the following:</w:t>
      </w:r>
    </w:p>
    <w:tbl>
      <w:tblPr>
        <w:tblW w:w="10205" w:type="dxa"/>
        <w:jc w:val="left"/>
        <w:tblInd w:w="0" w:type="dxa"/>
        <w:tblLayout w:type="fixed"/>
        <w:tblCellMar>
          <w:top w:w="28" w:type="dxa"/>
          <w:left w:w="28" w:type="dxa"/>
          <w:bottom w:w="28" w:type="dxa"/>
          <w:right w:w="28" w:type="dxa"/>
        </w:tblCellMar>
      </w:tblPr>
      <w:tblGrid>
        <w:gridCol w:w="616"/>
        <w:gridCol w:w="526"/>
        <w:gridCol w:w="529"/>
        <w:gridCol w:w="109"/>
        <w:gridCol w:w="196"/>
        <w:gridCol w:w="751"/>
        <w:gridCol w:w="109"/>
        <w:gridCol w:w="109"/>
        <w:gridCol w:w="109"/>
        <w:gridCol w:w="109"/>
        <w:gridCol w:w="109"/>
        <w:gridCol w:w="196"/>
        <w:gridCol w:w="806"/>
        <w:gridCol w:w="109"/>
        <w:gridCol w:w="109"/>
        <w:gridCol w:w="109"/>
        <w:gridCol w:w="109"/>
        <w:gridCol w:w="109"/>
        <w:gridCol w:w="196"/>
        <w:gridCol w:w="751"/>
        <w:gridCol w:w="109"/>
        <w:gridCol w:w="109"/>
        <w:gridCol w:w="109"/>
        <w:gridCol w:w="109"/>
        <w:gridCol w:w="109"/>
        <w:gridCol w:w="196"/>
        <w:gridCol w:w="751"/>
        <w:gridCol w:w="109"/>
        <w:gridCol w:w="109"/>
        <w:gridCol w:w="109"/>
        <w:gridCol w:w="109"/>
        <w:gridCol w:w="219"/>
        <w:gridCol w:w="739"/>
        <w:gridCol w:w="123"/>
        <w:gridCol w:w="109"/>
        <w:gridCol w:w="109"/>
        <w:gridCol w:w="109"/>
        <w:gridCol w:w="196"/>
        <w:gridCol w:w="751"/>
        <w:gridCol w:w="156"/>
      </w:tblGrid>
      <w:tr>
        <w:trPr/>
        <w:tc>
          <w:tcPr>
            <w:tcW w:w="6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90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c>
          <w:tcPr>
            <w:tcW w:w="1430" w:type="dxa"/>
            <w:gridSpan w:val="6"/>
            <w:tcBorders/>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Subject to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(45,252)</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139,848 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Recipes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(23,567)</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 use software</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269,091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167,849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268,416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(89,953)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178,463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Amortization expense totaled $5.6 million and $5.6 million for the three months ended June 29, 2026 and June 30, 2025, respectively, and $11.1 million and $11.1 million for the six months ended June 29, 2026 and June 30, 2025, respectively. For the three months ended June 29, 2026 and June 30, 2025, amortization expense included in cost of sales totaled $1.4 million and $1.4 million, respectively. For the three months ended June 29, 2026 and June 30, 2025, amortization expense included in operating expenses totaled $4.2 million and $4.2 million, respectively. For the six months ended June 29, 2026 and June 30, 2025, amortization expense included in cost of sales totaled $2.7 million and $2.7 million, respectively. For the six months ended June 29, 2026 and June 30, 2025, amortization expense included in operating expenses totaled $8.4 million and $8.4 million, respectively.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29, 2026, the weighted average remaining useful lives for the customer relationships, trade name, recipes, and internal use software are 12.1, 6.0, 0.4, and 3.4 years, respectively.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Amortization expense is classified as both operating expenses and cost of sales on the condensed consolidated statements of operations. Estimated future amortization expense is as follows:</w:t>
      </w:r>
    </w:p>
    <w:tbl>
      <w:tblPr>
        <w:tblW w:w="2788" w:type="dxa"/>
        <w:jc w:val="left"/>
        <w:tblInd w:w="0" w:type="dxa"/>
        <w:tblLayout w:type="fixed"/>
        <w:tblCellMar>
          <w:top w:w="28" w:type="dxa"/>
          <w:left w:w="28" w:type="dxa"/>
          <w:bottom w:w="28" w:type="dxa"/>
          <w:right w:w="28" w:type="dxa"/>
        </w:tblCellMar>
      </w:tblPr>
      <w:tblGrid>
        <w:gridCol w:w="531"/>
        <w:gridCol w:w="468"/>
        <w:gridCol w:w="470"/>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167,483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29, 2026, the Company had approximately $0.4 million of capitalized internal-use software that had not yet been placed in service and is therefore excluded from the future amortization schedule. Amortization of these costs will commence when the related software is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Related-Party Transactions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Management Related Fees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29, 2026 and June 30, 2025, the Company incurred management fees of approximately $5.1 million and $0.5 million, respectively, which it paid to PSP, the Company’s principal stockholder. During the six months ended June 29, 2026 and June 30, 2025, the Company incurred management fees of approximately $6.0 million and $1.0 million, respectively. Included within the management fees for the three and six months ended June 29, 2026 are $3.7 million in management fees paid in connection with the completion of the IPO. The management agreement terminated in connection with the completion of the IPO.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Expenses incurred through related party transactions are recorded as part of operating expenses within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Lessee Accounting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has both finance and operating leases. The finance leases are solely comprised of the Company’s commercial-use vehicles and equipment, maturing in dates ranging from 2026 to 2030, including expected renewal options. Including all renewal options available to the Company, the lease maturity date may extend on a month-to-month basis for an unlimited period of time. Operating leases consist of real estate and vehicle leases, maturing in dates ranging from 2026 to 2033. The Company has elected the practical expedient under ASC 842 to account for lease and non-lease components as a single lease component for its real estate, vehicle, and equipment leases.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Leases were included on the Company’s condensed consolidated balance sheets as follows:</w:t>
      </w:r>
    </w:p>
    <w:tbl>
      <w:tblPr>
        <w:tblW w:w="6280" w:type="dxa"/>
        <w:jc w:val="left"/>
        <w:tblInd w:w="0" w:type="dxa"/>
        <w:tblLayout w:type="fixed"/>
        <w:tblCellMar>
          <w:top w:w="28" w:type="dxa"/>
          <w:left w:w="28" w:type="dxa"/>
          <w:bottom w:w="28" w:type="dxa"/>
          <w:right w:w="28" w:type="dxa"/>
        </w:tblCellMar>
      </w:tblPr>
      <w:tblGrid>
        <w:gridCol w:w="1187"/>
        <w:gridCol w:w="1046"/>
        <w:gridCol w:w="1051"/>
        <w:gridCol w:w="200"/>
        <w:gridCol w:w="677"/>
        <w:gridCol w:w="247"/>
        <w:gridCol w:w="109"/>
        <w:gridCol w:w="109"/>
        <w:gridCol w:w="109"/>
        <w:gridCol w:w="265"/>
        <w:gridCol w:w="894"/>
        <w:gridCol w:w="386"/>
      </w:tblGrid>
      <w:tr>
        <w:trPr/>
        <w:tc>
          <w:tcPr>
            <w:tcW w:w="118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Finance Leases: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gross</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Right-of-use assets, net</w:t>
            </w:r>
            <w:r>
              <w:rPr>
                <w:rFonts w:ascii="Times New Roman;serif" w:hAnsi="Times New Roman;serif"/>
                <w:b w:val="false"/>
                <w:color w:val="000000"/>
                <w:sz w:val="10"/>
              </w:rPr>
              <w:t>(1)</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3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finance lease obligations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obligation</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11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years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Leases: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net</w:t>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23,387 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obligations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24,051 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obligations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28,519</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26,501</w:t>
            </w:r>
            <w:r>
              <w:rPr>
                <w:color w:val="000000"/>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11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years</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(1)Finance lease right-of-use assets, net are included in other assets on the Company’s condensed consolidated balance sheet.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tbl>
      <w:tblPr>
        <w:tblW w:w="7986" w:type="dxa"/>
        <w:jc w:val="left"/>
        <w:tblInd w:w="0" w:type="dxa"/>
        <w:tblLayout w:type="fixed"/>
        <w:tblCellMar>
          <w:top w:w="28" w:type="dxa"/>
          <w:left w:w="28" w:type="dxa"/>
          <w:bottom w:w="28" w:type="dxa"/>
          <w:right w:w="28" w:type="dxa"/>
        </w:tblCellMar>
      </w:tblPr>
      <w:tblGrid>
        <w:gridCol w:w="889"/>
        <w:gridCol w:w="784"/>
        <w:gridCol w:w="787"/>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3"/>
        <w:gridCol w:w="718"/>
        <w:gridCol w:w="199"/>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Finance lease cost:</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right-of-use asset</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lease obligations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finance lease cost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cost</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5490" w:type="dxa"/>
        <w:jc w:val="left"/>
        <w:tblInd w:w="0" w:type="dxa"/>
        <w:tblLayout w:type="fixed"/>
        <w:tblCellMar>
          <w:top w:w="28" w:type="dxa"/>
          <w:left w:w="28" w:type="dxa"/>
          <w:bottom w:w="28" w:type="dxa"/>
          <w:right w:w="28" w:type="dxa"/>
        </w:tblCellMar>
      </w:tblPr>
      <w:tblGrid>
        <w:gridCol w:w="564"/>
        <w:gridCol w:w="496"/>
        <w:gridCol w:w="500"/>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lease cost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Variable lease cost</w:t>
            </w:r>
            <w:r>
              <w:rPr>
                <w:rFonts w:ascii="Times New Roman;serif" w:hAnsi="Times New Roman;serif"/>
                <w:b w:val="false"/>
                <w:color w:val="000000"/>
                <w:sz w:val="10"/>
              </w:rPr>
              <w:t>(1)</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(1)Consists primarily of common area maintenance, real estate taxes, utilities, operating expenses, and insurance for real estate leases; insurance and personal property expense for equipment leases; and certain vehicle related charges for finance leases that vary based on actual usage, activity, or other factors that do not depend on an index or rate and therefore are excluded from the measurement of lease liabilities and right-of-use assets.</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7990" w:type="dxa"/>
        <w:jc w:val="left"/>
        <w:tblInd w:w="0" w:type="dxa"/>
        <w:tblLayout w:type="fixed"/>
        <w:tblCellMar>
          <w:top w:w="28" w:type="dxa"/>
          <w:left w:w="28" w:type="dxa"/>
          <w:bottom w:w="28" w:type="dxa"/>
          <w:right w:w="28" w:type="dxa"/>
        </w:tblCellMar>
      </w:tblPr>
      <w:tblGrid>
        <w:gridCol w:w="1806"/>
        <w:gridCol w:w="1590"/>
        <w:gridCol w:w="1598"/>
        <w:gridCol w:w="235"/>
        <w:gridCol w:w="759"/>
        <w:gridCol w:w="131"/>
        <w:gridCol w:w="109"/>
        <w:gridCol w:w="109"/>
        <w:gridCol w:w="109"/>
        <w:gridCol w:w="308"/>
        <w:gridCol w:w="994"/>
        <w:gridCol w:w="242"/>
      </w:tblGrid>
      <w:tr>
        <w:trPr/>
        <w:tc>
          <w:tcPr>
            <w:tcW w:w="18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the measurement of lease liabilities: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from operating leases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from finance leases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(447)</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(170)</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Future maturities of the Company’s finance and operating lease obligations as of June 29, 2026 were as follows:</w:t>
      </w:r>
    </w:p>
    <w:tbl>
      <w:tblPr>
        <w:tblW w:w="3639" w:type="dxa"/>
        <w:jc w:val="left"/>
        <w:tblInd w:w="0" w:type="dxa"/>
        <w:tblLayout w:type="fixed"/>
        <w:tblCellMar>
          <w:top w:w="28" w:type="dxa"/>
          <w:left w:w="28" w:type="dxa"/>
          <w:bottom w:w="28" w:type="dxa"/>
          <w:right w:w="28" w:type="dxa"/>
        </w:tblCellMar>
      </w:tblPr>
      <w:tblGrid>
        <w:gridCol w:w="564"/>
        <w:gridCol w:w="497"/>
        <w:gridCol w:w="499"/>
        <w:gridCol w:w="196"/>
        <w:gridCol w:w="436"/>
        <w:gridCol w:w="109"/>
        <w:gridCol w:w="109"/>
        <w:gridCol w:w="109"/>
        <w:gridCol w:w="109"/>
        <w:gridCol w:w="196"/>
        <w:gridCol w:w="66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156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payments</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w:t>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8 — Accrued Expenses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5265" w:type="dxa"/>
        <w:jc w:val="left"/>
        <w:tblInd w:w="0" w:type="dxa"/>
        <w:tblLayout w:type="fixed"/>
        <w:tblCellMar>
          <w:top w:w="28" w:type="dxa"/>
          <w:left w:w="28" w:type="dxa"/>
          <w:bottom w:w="28" w:type="dxa"/>
          <w:right w:w="28" w:type="dxa"/>
        </w:tblCellMar>
      </w:tblPr>
      <w:tblGrid>
        <w:gridCol w:w="781"/>
        <w:gridCol w:w="688"/>
        <w:gridCol w:w="691"/>
        <w:gridCol w:w="109"/>
        <w:gridCol w:w="109"/>
        <w:gridCol w:w="228"/>
        <w:gridCol w:w="770"/>
        <w:gridCol w:w="127"/>
        <w:gridCol w:w="109"/>
        <w:gridCol w:w="109"/>
        <w:gridCol w:w="299"/>
        <w:gridCol w:w="1010"/>
        <w:gridCol w:w="235"/>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received not billed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11,998</w:t>
            </w:r>
            <w:r>
              <w:rPr>
                <w:color w:val="000000"/>
              </w:rPr>
              <w:t>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19,563</w:t>
            </w:r>
            <w:r>
              <w:rPr>
                <w:color w:val="000000"/>
              </w:rPr>
              <w:t> </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party to certain legal proceedings. The Company accrues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applicable insurance coverage and could materially affect the Company’s business, cash flows, results of operations, financial condition,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Benefit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defined contribution plan under Internal Revenue Code Section 401(k). The Company may make discretionary contributions to the plan. During the three months ended June 29, 2026 and June 30, 2025, the contributions to the plan totaled approximately $0.2 million and $0.1 million, respectively, and during the six months ended June 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2026 and June 30, 2025, the contributions to the plan totaled approximately $0.4 million and $0.3 million, respectively. These were recorded as part of operating expenses within the condensed consolidated statements of operations.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Letter of credit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29, 2026 and June 30, 2025, the Company had outstanding standby letters of credit totaling $1.0 million and $0.7 million, respectively, all of which expire within one year of issuance date. These instruments were issued primarily to support lease obligations and are fully secured by restricted cash deposits. The letter of credit is payable upon the occurrence of any of the following conditions: (a) the Company fails to comply with or perform its obligations under the terms and conditions of the applicable leases; (b) a case under Title 11 or other applicable bankruptcy laws is filed by or against the Company; (c) the lessor has not received a proper extension of the letter of credit; or (d) the Company fails to deliver a replacement letter of credit to the lessor.</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 amounts had been drawn under this letter of credit during the six months ended June 29, 2026 and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losses under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10 — Debt</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August 23, 2021, the Company entered into a credit agreement with JP Morgan Chase Bank, N.A. (as amended, restated, amended and restated, supplemented or otherwise modified from time to time, the “Credit Agreement”) to provide an initial term loan of $120.0 million (the “Initial Term Loan”). The original Credit Agreement also provided for a revolving credit facility of $25.0 million (the “Initial Revolving Credit Facility”) with a swingline loan sublimit of $5.0 million (the “Swingline Facility”) to provide funding for working capital and general corporate purposes. The Initial Term Loan has been amended and restated on several occasions. Most recently, on May 8, 2026, the Company entered into a fifth amendment to the Credit Agreement to, among other things, facilitate the reorganization in connection with the IPO.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Third Amendment to Credit Agreement provided for a $15.0 million increase to the Initial Revolving Credit Facility (the “Revolving Credit Facility”) to provide funding for working capital and general corporate purposes. At the execution of the Third Amendment to Credit Agreement, the aggregate commitment amount of the Revolving Credit Facility totaled $40.0 million.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outstanding principal and accrued and unpaid interest on the Term Loan is due and payable on August 23, 2029 and accrues daily interest at a per annum rate equivalent to, (i) a base rate plus the applicable margin set 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condensed consolidated net leverage ratio as of the most recent date of determination. All interest and applicable fees chargeable shall be computed on the basis of a three hundred and sixty (360) day year (or 365 or 366 days, as the case may be, in the case of base rate loans based on the prime rate), in each case, for the actual number of days elapsed in the period during which the interest or fees accrue. The accrued and unpaid interest on the Term Loan shall be due and payable on the earliest of maturity date, change of control, the sale of all or substantially all assets of the Company or the date of the acceleration. The Company is required to make principal payments on a quarterly basis of 0.25% of the aggregate principal amount of the Term Loan.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outstanding principal and accrued and unpaid interest on the Revolving Credit Facility is due and payable on August 23, 2028 and accrues daily interest at a per annum rate equivalent to, (i) a base rate plus the applicable margin set 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condensed consolidated net leverage ratio as of the most recent date of determination. All interest and applicable fees chargeable shall be computed on the basis of a three hundred and sixty (360) day year (or 365 or 366 days, as the case may be, in the case of base rate loans based on the prime rate). The accrued and unpaid interest on the revolving loans are due and payable on the earliest of maturity date, change of control, the sale of all or substantially all assets of the Company or the date of the acceleration. The Revolving Credit Facility also has a commitment fee which accrues at a per annum rate equal to 0.50% on the average daily unused revolving commitment. All commitment fees are computed on the basis of a year of 360 days and are payable for the actual number of days elapsed (including the first day but excluding the last day). The commitment fee may be reduced based on certain calculations of the Company’s net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Delayed Draw Term Loan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13, 2026, the Company entered into a fourth amendment to the Credit Agreement, providing for a $15.0 million delayed draw term loan commitment. There have been no draws on this term loan as of June 29, 2026.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Debt Extinguishment in connection with the IPO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repaid a portion of its outstanding borrowings under the Credit Agreement using the net proceeds from the offering. The Company repaid approximately $101.3 million of the principal balance outstanding under the Term Loan, and $40.0 million outstanding balance under the Revolving Credit Facility. In connection with these prepayments, the Company paid a contractual prepayment premium of approximately $1.0 million and accrued interest of approximately $0.4 million.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 loss on extinguishment of debt of approximately $2.3 million in the second quarter of fiscal 2026, which consisted of the $1.0 million prepayment premium and approximately $1.3 million in unamortized deferred financing costs. The unamortized deferred financing costs written off were those attributed to the extinguished portion of the Term Loan. The repayment of the Revolving Credit Facility balance did not result in a write-off of related debt issuance costs, as the facility remains available for future borrowings.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debt instruments consisted of the following for the periods presented:</w:t>
      </w:r>
    </w:p>
    <w:tbl>
      <w:tblPr>
        <w:tblW w:w="10205" w:type="dxa"/>
        <w:jc w:val="left"/>
        <w:tblInd w:w="0" w:type="dxa"/>
        <w:tblLayout w:type="fixed"/>
        <w:tblCellMar>
          <w:top w:w="28" w:type="dxa"/>
          <w:left w:w="28" w:type="dxa"/>
          <w:bottom w:w="28" w:type="dxa"/>
          <w:right w:w="28" w:type="dxa"/>
        </w:tblCellMar>
      </w:tblPr>
      <w:tblGrid>
        <w:gridCol w:w="1298"/>
        <w:gridCol w:w="1138"/>
        <w:gridCol w:w="1146"/>
        <w:gridCol w:w="109"/>
        <w:gridCol w:w="109"/>
        <w:gridCol w:w="109"/>
        <w:gridCol w:w="507"/>
        <w:gridCol w:w="507"/>
        <w:gridCol w:w="510"/>
        <w:gridCol w:w="109"/>
        <w:gridCol w:w="109"/>
        <w:gridCol w:w="109"/>
        <w:gridCol w:w="379"/>
        <w:gridCol w:w="379"/>
        <w:gridCol w:w="380"/>
        <w:gridCol w:w="109"/>
        <w:gridCol w:w="109"/>
        <w:gridCol w:w="109"/>
        <w:gridCol w:w="207"/>
        <w:gridCol w:w="798"/>
        <w:gridCol w:w="115"/>
        <w:gridCol w:w="109"/>
        <w:gridCol w:w="109"/>
        <w:gridCol w:w="109"/>
        <w:gridCol w:w="271"/>
        <w:gridCol w:w="1042"/>
        <w:gridCol w:w="220"/>
      </w:tblGrid>
      <w:tr>
        <w:trPr/>
        <w:tc>
          <w:tcPr>
            <w:tcW w:w="129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Debt Instrument </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3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Term SOFR + 5.50%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8/23/2029</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267,540 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Term SOFR + 5.50%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8/23/2028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Prime + 4.50%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8/23/2028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debt, less current portion</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304,800 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Less: unamortized discount and debt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amount of long-term debt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162,951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301,157</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29, 2026, aggregate future principal payments required in accordance with the terms of the Term Loan, are as follows:</w:t>
      </w:r>
    </w:p>
    <w:tbl>
      <w:tblPr>
        <w:tblW w:w="3191"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232"/>
        <w:gridCol w:w="890"/>
        <w:gridCol w:w="182"/>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Years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 in thousands)</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156,680 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164,900</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has incurred deferred financing costs of $6.9 million in total related to the Term Loan, which have been presented net of proceeds on the condensed consolidated balance sheets. The Company amortizes these costs over the life of the Term Loan which amounted to $0.2 million during both the three months ended June 29, 2026 and June 30, 2025.</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recognized interest expense on the Term Loans and Revolving Credit Facility of $5.2 million and $7.2 million during the three months ended June 29, 2026 and June 30, 2025, respectively. The Company has made $142.0 million and $0.7 million of principal payments on the Term Loan during the three months ended June 29, 2026 and June 30, 2025, respectively. As of June 29, 2026 and June 30, 2025, the Company had drawn none and $20.0 million, respectively, on the Revolving Credit Facility respectively. As of June 29, 2026, the Company had total debt outstanding of $164.9 million which approximates its fair value and had no borrowings outstanding under its Revolving Credit Facility, with $40.0 million of availability.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a condensed consolidated net leverage ratio below 5.50 to 1.00 for each quarter from March 2026 through December 2026, 4.50 to 1.00 for each quarter from March 2027 through December 2027, and 3.50 to 1.00 for each quarter from March 2028 thereafter. The Company is in compliance with its debt covenant. The Company’s Term Loan and Revolving Credit Facility are secured by first-priority liens on substantially all of the assets of the Company, subject to customary exceptions and permitted liens.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Equity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Pre-IPO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Prior to the consummation of the IPO, under the terms of the Limited Partnership Agreement (or “LP Agreement”) adopted on August 23, 2021, as amended on February 20, 2024, each partner’s interest in Holdings LP, including such interest in allocations of profits, losses, and distributions of Holdings LP as well as the right to consent to or approve certain matters as provided in the LP Agreement, was represented by the units owned by each partner. The total units which Holdings LP had authority to issue was determined by the board of directors from time to time and consisted of an unlimited number of Class A Units, an unlimited number of Class B Units, an unlimited number of Class C Units, 4,840 Class D Units, an unlimited number of Class E Units, and an unlimited number of Class F Units, (collectively, the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Holdings LP’s capital accounts as set forth in the LP Agreement as of immediately prior to the consummation of the IPO: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A Units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Holdings LP issued 190,698 Class A Units at the adoption of the LP Agreement which included 188,698 Class A Units issued to funds controlled by PSP and 2,000 Class A Units issued to certain existing investors. All issued Units were those of the partnership and therefore, no non-controlling interests were established. On November 15, 2021, Holdings LP entered into a purchase agreement with a third party to sell 19,636 Class A Units for $19.6 million plus $0.4 million of transaction cost reimbursement for a total of $20.0 million. In the same transaction, PSP sold units of Holdings LP representing approximately 10.3% ownership of Holdings LP and continued to maintain control of Holdings LP with approximately 88.5% of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closing of Holdings LP’s acquisition of Vive, Suja issued 32,183 units of Class A Units to Vive shareholders to partially fund the acquisition, resulting in a 14.4% ownership. PSP continued to maintain control of Holdings LP with approximately 75.8% of Units.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Holdings LP had 222,881 Class A Units issued as of December 29,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B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Holdings LP had 18,680 Class B Units issued as of December 29, 2025, of which 8,987 were time-based units and 9,693 were performance-based units. Vested Class B Units totaled 7,133 as of December 29,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C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Holdings LP had 200 Class C Units issued as of December 29, 2025, all of which were fully vested.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D Incentive Units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Holdings LP had 4,840 Class D performance-based incentive units issued as of December 29, 2025, all of which were fully vested.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E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February 20, 2024, Holdings LP issued 1,434 Class E incentive units to a senior member of management, of which 717 were time-based units and 717 were performance-based units. Vested Class E Units totaled 286, as of December 29,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F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February 20, 2024, Holdings LP issued 1,000 Class F incentive units to a senior member of management, of which all were performance-based units. No Class F Units were considered vested as of December 29,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Post-IPO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existing limited partnership agreement (the “LP Agreement”) of Holdings LP was amended and restated to, among other things, recapitalize all existing ownership interests in Holdings LP held by the existing owners of Holdings LP into a single class of common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amended and restated its certificate of incorporation to, among other things, authorize (i) 50,000,000 shares of preferred stock, par value $0.0001 per share, (ii) 500,000,000 shares of Class A common stock, and (iii) 100,000,000 shares of Class V common stock.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Class A common stock carries one vote per share on all matters presented to stockholders generally and economic rights in the Company. Holders of Class A common stock are entitled to dividends when and if declared by the Company’s board of directors. Upon the Company’s dissolution or liquidation or the sale of all or substantially all of its assets, after payment in full of all amounts required to be paid to creditors and to the holders of preferred stock having liquidation preferences, if any, holders of Class A common stock will be entitled to receive pro rata the Company’s remaining assets available for distribution.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V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share of Class V common stock carries one vote per share on all matters submitted to a vote of stockholders but no economic rights. Holders of Class V common stock do not have any right to receive dividends or distributions upon the liquidation or winding up of the Company. Each share of Class V common stock was issued for nominal consideration solely to maintain voting alignment with LP units. Holders of LP Units may exchange their LP Units, together with an equal number of shares of Class V common stock, for shares of Class A common stock on a one-for-one basis or, at the Company’s election, for cash from a substantially concurrent public offering or private sale. Any shares of Class V common stock so delivered will be cancelled.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Company’s amended and restated certificate of incorporation, the Company’s board of directors may issue shares of preferred stock in one or more series without stockholder approval. For each series, the Company’s board of directors has the discretion to determine the rights, preferences, privileges and restrictions, including voting rights, dividend rights, conversion rights, redemption privileges, and liquidation preferences, of each series of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12 — Incentive Unit Compensation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Prior to the consummation of the IPO, Holdings LP had historically maintained equity incentive plans for purposes of retaining and incentivizing certain employees of the Company. This plan was replaced by the Suja Life, Inc. 2026 Omnibus Incentive Plan (“2026 Omnibus Plan”), adopted by the Company on May 8, 2026 in connection with the IPO.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Pre-IPO equity incentive plan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Holdings LP issued Class B, Class C, Class D, Class E Units and Class F Units (collectively, the “Incentive Units”). Refer to Note 11 - Equity for further discussion on Holdings LP’s Incentive Units. Incentive unit compensation expense was recorded as part of operating expenses within the condensed consolidated statements of operations. Forfeitures were accounted for as they occurred.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Incentive unit compensation expense associated with the time-based Class B Units was recognized on a straight-line basis over the requisite service period, using the grant date fair value. The Company recognized $36 thousand of incentive unit compensation expense related to the time-based Class B Units during the three months ended June 29, 2026 and $83 thousand during the three months ended June 30, 2025. The Company recognized $0.1 million of incentive unit compensation expense related to the time-based Class B Units during the six months ended June 29, 2026 and $0.2 million during the six months ended June 30, 2025.</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Incentive unit compensation expense associated with the time-based Class E Units was recognized on a straight-line basis over the requisite service period, using the grant date fair value. The Company recognized $11 thousand of incentive unit compensation expense related to the time-based Class E Units during the three months ended June 29, 2026 and $33 thousand during the three months ended June 30, 2025. The Company recognized $44 thousand of incentive unit compensation expense related to the time-based Class E Units during the six months ended June 29, 2026 and $74 thousand during the six months ended June 30, 2025.</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Following the consummation of the IPO, no incentive units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2026 Omnibus Incentive Plan and Incentive Unit Settlement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incurred additional compensation related costs associated with modifications to outstanding incentive units and the issuance of (i) performance-based restricted stock awards (“PBRSAs”), (ii) performance-based restricted stock units (“PSUs”) and (iii) time-based restricted stock units (“RSUs”) under the 2026 Omnibus Plan to certain employees and directors.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2026 Omnibus Plan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2026 Omnibus Plan authorizes the Company to issue stock options, stock appreciation rights, restricted stock, restricted stock units, performance awards, other stock-based awards, or cash awards.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Subject to adjustment in the event of certain transactions or changes of capitalization, 4,291,668 shares of Class A common stock are reserved for issuance pursuant to awards under the 2026 Omnibus Plan (the “Share Reserve”). The Share Reserve will be increased annually on January 1 of each calendar year beginning in 2027 and ending and including January 1, 2036, by the lesser of (i) 4% of the aggregate number of shares of Class A common stock and Class V common stock outstanding on December 31 of the immediately preceding calendar year and (ii) the number of shares as determined by the Company’s board of directors.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Modifications of Pre-IPO Awards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organizational transactions described in Note 1, certain existing incentive units of Holdings LP were modified.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3,809 unvested Class B performance-based units held by board members were modified and accelerated to fully vest upon IPO, and converted into 397,454 shares of Class A common stock, resulting in incremental compensation expense of $8.3 million recognized in transaction costs within the condensed consolidated statement of operations. </w:t>
      </w:r>
    </w:p>
    <w:p>
      <w:pPr>
        <w:pStyle w:val="TextBody"/>
        <w:bidi w:val="0"/>
        <w:spacing w:lineRule="auto" w:line="288" w:before="0" w:after="160"/>
        <w:ind w:left="0" w:right="0" w:hanging="360"/>
        <w:jc w:val="left"/>
        <w:rPr>
          <w:color w:val="000000"/>
        </w:rPr>
      </w:pPr>
      <w:r>
        <w:rPr>
          <w:color w:val="000000"/>
        </w:rPr>
        <w:t>•    </w:t>
      </w:r>
      <w:r>
        <w:rPr>
          <w:rFonts w:ascii="Times New Roman;serif" w:hAnsi="Times New Roman;serif"/>
          <w:b w:val="false"/>
          <w:color w:val="000000"/>
          <w:sz w:val="20"/>
        </w:rPr>
        <w:t xml:space="preserve">Unvested performance-based units held by employees made up of 5,885 Class B, 717 Class E, and 500 Class F units were modified and converted into 735,393 shares of Class A common stock subject to PBRSAs. The modification did not result in incremental compensation expense.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875 partially vested Class B time-based units were converted into 90,464 shares of Class A common stock, and 6,745 partially and fully vested Class B and E time-based units were accelerated and subsequently settled in cash. All unrecognized grant date fair value for the unvested portion of $0.9 million was recognized as compensation cost upon acceleration and was recognized in transaction costs within the condensed consolidated statement of operations.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1,000 Class F Units were modified, with 50% converted into PBRSAs and the remaining 50% fully accelerated and subsequently cash settled, as discussed below. The modification of the performance-based awards did not result in incremental compensation expense, while the accelerated awards resulted in $2.6 million of incremental compensation expense recognized in transaction costs within the condensed consolidated statement of operations.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Settlements of Existing Awards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6,028 Class B, 717 Class E time-based and 500 Class F units held by certain employees were settled in cash at fair value totaling $13.1 million which was recorded against additional paid-in-capital.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Performance Awards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awards include PBRSAs and PSUs, which represent the right to receive shares of the Company’s Class A common stock upon vesting. Performance awards are subject to both market conditions and performance conditions, whereby each unit vests at the earlier of achieving an EBITDA target (a performance condition), maintaining a stock price hurdle (a market condition), or achieving a MOIC stock price hurdle at the time of an investor sale (a market condition with an implied performance condition) within the requisite service period of two years. For performance awards that incorporate a market condition, the grant-date fair value is determined using a Monte Carlo simulation.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summary of the performance awards activity and related information is below:</w:t>
      </w:r>
    </w:p>
    <w:tbl>
      <w:tblPr>
        <w:tblW w:w="7965" w:type="dxa"/>
        <w:jc w:val="left"/>
        <w:tblInd w:w="0" w:type="dxa"/>
        <w:tblLayout w:type="fixed"/>
        <w:tblCellMar>
          <w:top w:w="28" w:type="dxa"/>
          <w:left w:w="28" w:type="dxa"/>
          <w:bottom w:w="28" w:type="dxa"/>
          <w:right w:w="28" w:type="dxa"/>
        </w:tblCellMar>
      </w:tblPr>
      <w:tblGrid>
        <w:gridCol w:w="1033"/>
        <w:gridCol w:w="907"/>
        <w:gridCol w:w="910"/>
        <w:gridCol w:w="109"/>
        <w:gridCol w:w="484"/>
        <w:gridCol w:w="484"/>
        <w:gridCol w:w="486"/>
        <w:gridCol w:w="109"/>
        <w:gridCol w:w="109"/>
        <w:gridCol w:w="109"/>
        <w:gridCol w:w="685"/>
        <w:gridCol w:w="1998"/>
        <w:gridCol w:w="542"/>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Outstanding as of December 30, 2025</w:t>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864,101 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Unvested as of June 29, 2026</w:t>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864,101</w:t>
            </w:r>
            <w:r>
              <w:rPr>
                <w:color w:val="000000"/>
              </w:rPr>
              <w:t>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14.66</w:t>
            </w:r>
            <w:r>
              <w:rPr>
                <w:color w:val="000000"/>
              </w:rPr>
              <w:t>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RSUs represent the right to receive shares of the Company’s Class A common stock upon vesting. RSUs are subject to a graded service-based vesting condition, vesting in three equal installments over three years subject generally to continued employment. RSUs to be granted to non-employee directors are subject to a service-based vesting condition, vesting at the earlier of one-year or the next annual stockholders' meeting following the grant date, subject generally to continued service. All RSU awards accelerate upon a change of control.</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summary of the RSU activity and related information is below:</w:t>
      </w:r>
    </w:p>
    <w:tbl>
      <w:tblPr>
        <w:tblW w:w="7830" w:type="dxa"/>
        <w:jc w:val="left"/>
        <w:tblInd w:w="0" w:type="dxa"/>
        <w:tblLayout w:type="fixed"/>
        <w:tblCellMar>
          <w:top w:w="28" w:type="dxa"/>
          <w:left w:w="28" w:type="dxa"/>
          <w:bottom w:w="28" w:type="dxa"/>
          <w:right w:w="28" w:type="dxa"/>
        </w:tblCellMar>
      </w:tblPr>
      <w:tblGrid>
        <w:gridCol w:w="1033"/>
        <w:gridCol w:w="907"/>
        <w:gridCol w:w="910"/>
        <w:gridCol w:w="109"/>
        <w:gridCol w:w="439"/>
        <w:gridCol w:w="439"/>
        <w:gridCol w:w="441"/>
        <w:gridCol w:w="109"/>
        <w:gridCol w:w="109"/>
        <w:gridCol w:w="109"/>
        <w:gridCol w:w="685"/>
        <w:gridCol w:w="1998"/>
        <w:gridCol w:w="542"/>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Outstanding as of December 30, 2025</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83,811 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Unvested as of June 29, 2026</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83,811</w:t>
            </w:r>
            <w:r>
              <w:rPr>
                <w:color w:val="000000"/>
              </w:rPr>
              <w:t>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21.00</w:t>
            </w:r>
            <w:r>
              <w:rPr>
                <w:color w:val="000000"/>
              </w:rPr>
              <w:t>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recognized within the condensed consolidated statements of operations for the periods indicated:</w:t>
      </w:r>
    </w:p>
    <w:tbl>
      <w:tblPr>
        <w:tblW w:w="8654" w:type="dxa"/>
        <w:jc w:val="left"/>
        <w:tblInd w:w="0" w:type="dxa"/>
        <w:tblLayout w:type="fixed"/>
        <w:tblCellMar>
          <w:top w:w="28" w:type="dxa"/>
          <w:left w:w="28" w:type="dxa"/>
          <w:bottom w:w="28" w:type="dxa"/>
          <w:right w:w="28" w:type="dxa"/>
        </w:tblCellMar>
      </w:tblPr>
      <w:tblGrid>
        <w:gridCol w:w="1099"/>
        <w:gridCol w:w="964"/>
        <w:gridCol w:w="966"/>
        <w:gridCol w:w="109"/>
        <w:gridCol w:w="541"/>
        <w:gridCol w:w="1827"/>
        <w:gridCol w:w="301"/>
        <w:gridCol w:w="109"/>
        <w:gridCol w:w="109"/>
        <w:gridCol w:w="109"/>
        <w:gridCol w:w="488"/>
        <w:gridCol w:w="1648"/>
        <w:gridCol w:w="38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2026</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13,117 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13,023</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13,163</w:t>
            </w:r>
            <w:r>
              <w:rPr>
                <w:color w:val="000000"/>
              </w:rPr>
              <w:t>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recognized using the straight-line attribution method over the requisite service period.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recognized $11.9 million of expense related to the modification of incentive units, which is included in transaction costs within the condensed consolidated statements of operations.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Unvested compensation cost related to stock-based awards of $13.3 million is expected to be recognized over a weighted average remaining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EPS of Class A common stock and represents the period from May 8, 2026 to June 29, 2026, the period where the Company had Class A common stock and Class 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outstanding. Prior to the consummation of the IPO, the Company did not have a common unit of ownership and did not present earnings per share. As a result, only earnings per share for periods subsequent to the IPO are presented.</w:t>
      </w:r>
    </w:p>
    <w:tbl>
      <w:tblPr>
        <w:tblW w:w="10205" w:type="dxa"/>
        <w:jc w:val="left"/>
        <w:tblInd w:w="0" w:type="dxa"/>
        <w:tblLayout w:type="fixed"/>
        <w:tblCellMar>
          <w:top w:w="28" w:type="dxa"/>
          <w:left w:w="28" w:type="dxa"/>
          <w:bottom w:w="28" w:type="dxa"/>
          <w:right w:w="28" w:type="dxa"/>
        </w:tblCellMar>
      </w:tblPr>
      <w:tblGrid>
        <w:gridCol w:w="2065"/>
        <w:gridCol w:w="1694"/>
        <w:gridCol w:w="1700"/>
        <w:gridCol w:w="109"/>
        <w:gridCol w:w="423"/>
        <w:gridCol w:w="1542"/>
        <w:gridCol w:w="235"/>
        <w:gridCol w:w="109"/>
        <w:gridCol w:w="109"/>
        <w:gridCol w:w="109"/>
        <w:gridCol w:w="388"/>
        <w:gridCol w:w="1412"/>
        <w:gridCol w:w="310"/>
      </w:tblGrid>
      <w:tr>
        <w:trPr/>
        <w:tc>
          <w:tcPr>
            <w:tcW w:w="206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2026</w:t>
            </w:r>
          </w:p>
        </w:tc>
      </w:tr>
      <w:tr>
        <w:trPr/>
        <w:tc>
          <w:tcPr>
            <w:tcW w:w="5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(27,798)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(20,064)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Suja Life Holdings, LP before the organizational transactions</w:t>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(22,786)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(15,052)</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Net income (loss) attributable to Suja Life, Inc.</w:t>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(3,268)</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number of shares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(loss) per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(0.14)</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(0.14)</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shares were not included in the calculation of diluted shares outstanding as the effect would have been anti-dilutive, or in the case of performance stock awards and units, as the issuance of such shares is contingent upon the satisfaction of certain conditions which were not satisfied by the end of the reporting period.</w:t>
      </w:r>
    </w:p>
    <w:tbl>
      <w:tblPr>
        <w:tblW w:w="9208" w:type="dxa"/>
        <w:jc w:val="left"/>
        <w:tblInd w:w="0" w:type="dxa"/>
        <w:tblLayout w:type="fixed"/>
        <w:tblCellMar>
          <w:top w:w="28" w:type="dxa"/>
          <w:left w:w="28" w:type="dxa"/>
          <w:bottom w:w="28" w:type="dxa"/>
          <w:right w:w="28" w:type="dxa"/>
        </w:tblCellMar>
      </w:tblPr>
      <w:tblGrid>
        <w:gridCol w:w="1297"/>
        <w:gridCol w:w="1138"/>
        <w:gridCol w:w="1149"/>
        <w:gridCol w:w="109"/>
        <w:gridCol w:w="888"/>
        <w:gridCol w:w="888"/>
        <w:gridCol w:w="893"/>
        <w:gridCol w:w="109"/>
        <w:gridCol w:w="109"/>
        <w:gridCol w:w="109"/>
        <w:gridCol w:w="736"/>
        <w:gridCol w:w="736"/>
        <w:gridCol w:w="1047"/>
      </w:tblGrid>
      <w:tr>
        <w:trPr/>
        <w:tc>
          <w:tcPr>
            <w:tcW w:w="12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83,811 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83,811 </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Stock Awards and Units</w:t>
            </w:r>
          </w:p>
        </w:tc>
        <w:tc>
          <w:tcPr>
            <w:tcW w:w="109"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864,101 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864,101 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LP Units exchangeable for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14,836,312 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14,836,312 </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antidilutive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15,784,224</w:t>
            </w:r>
            <w:r>
              <w:rPr>
                <w:color w:val="000000"/>
              </w:rPr>
              <w:t> </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15,784,224</w:t>
            </w:r>
            <w:r>
              <w:rPr>
                <w:color w:val="000000"/>
              </w:rPr>
              <w:t> </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 Non-Controlling Interests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the general partner of Holdings LP, and consolidates the financial results of Holdings LP. The Company reports a non-controlling interest representing the economic interest in Holdings LP held by the other limited partners of Holdings LP.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Exchange Agreement entered into in connection with the IPO, the holders of LP Units may exchange their LP Units, together with an equal number of shares of Class V common stock, for shares of Class A common stock on a one-for-one basis or, at the Company’s election, for cash from a substantially concurrent public offering or private sale of shares of Class A common stock (based on the price of Class A common stock in such public offering or private sale). Any shares of Class V common stock so delivered will be cancelled.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any exchange, the Company will receive a corresponding number of LP Units, increasing the Company’s total ownership in Holdings LP. Changes in the Company’s ownership in Holdings LP, while the Company retains its controlling interest in Holdings LP will be accounted for as equity transactions in accordance with ASC 810, Consolidation.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interest in Holdings LP as of June 29, 2026:</w:t>
      </w:r>
    </w:p>
    <w:tbl>
      <w:tblPr>
        <w:tblW w:w="6549" w:type="dxa"/>
        <w:jc w:val="left"/>
        <w:tblInd w:w="0" w:type="dxa"/>
        <w:tblLayout w:type="fixed"/>
        <w:tblCellMar>
          <w:top w:w="28" w:type="dxa"/>
          <w:left w:w="28" w:type="dxa"/>
          <w:bottom w:w="28" w:type="dxa"/>
          <w:right w:w="28" w:type="dxa"/>
        </w:tblCellMar>
      </w:tblPr>
      <w:tblGrid>
        <w:gridCol w:w="1275"/>
        <w:gridCol w:w="1121"/>
        <w:gridCol w:w="1128"/>
        <w:gridCol w:w="487"/>
        <w:gridCol w:w="489"/>
        <w:gridCol w:w="476"/>
        <w:gridCol w:w="109"/>
        <w:gridCol w:w="109"/>
        <w:gridCol w:w="109"/>
        <w:gridCol w:w="285"/>
        <w:gridCol w:w="286"/>
        <w:gridCol w:w="675"/>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Holdings LP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Ownership %</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LP Units held by Suja Life, Inc.</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23,788,700 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LP Units held by non-controlling interest 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14,836,312 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LP Units</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38,625,012</w:t>
            </w:r>
            <w:r>
              <w:rPr>
                <w:color w:val="000000"/>
              </w:rPr>
              <w:t>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100.0</w:t>
            </w:r>
            <w:r>
              <w:rPr>
                <w:color w:val="000000"/>
              </w:rPr>
              <w:t> </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weighted-average ownership percentage for the applicable reporting period is used to attribute net loss to the Company and the non-controlling interest holders. The non-controlling interest holders’ weighted-average ownership percentage for the period from May 8, 2026 to June 29, 2026 was 38.4%.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changes in ownership of Holdings LP on the Company’s equity:</w:t>
      </w:r>
    </w:p>
    <w:tbl>
      <w:tblPr>
        <w:tblW w:w="8625" w:type="dxa"/>
        <w:jc w:val="left"/>
        <w:tblInd w:w="0" w:type="dxa"/>
        <w:tblLayout w:type="fixed"/>
        <w:tblCellMar>
          <w:top w:w="28" w:type="dxa"/>
          <w:left w:w="28" w:type="dxa"/>
          <w:bottom w:w="28" w:type="dxa"/>
          <w:right w:w="28" w:type="dxa"/>
        </w:tblCellMar>
      </w:tblPr>
      <w:tblGrid>
        <w:gridCol w:w="2323"/>
        <w:gridCol w:w="2045"/>
        <w:gridCol w:w="2052"/>
        <w:gridCol w:w="427"/>
        <w:gridCol w:w="1442"/>
        <w:gridCol w:w="336"/>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and Six Months ended</w:t>
              <w:br/>
              <w:t>June 29, 2026</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Suja Life, Inc.</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(3,268)</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to noncontrolling interests:</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additional paid-in capital as a result of the IPO organizational transactions</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88,554 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additional paid-in capital as a result of the purchase of Holdings LP units</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(66,682)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from net loss attributable to Suja Life, Inc. and transfers to noncontrolling interests</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18,604</w:t>
            </w:r>
            <w:r>
              <w:rPr>
                <w:color w:val="000000"/>
              </w:rPr>
              <w:t>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Prior to the consummation of the IPO, the Company conducted certain operations through wholly owned subsidiaries that were subject to U.S. federal and state income taxes. After the consummation of the IPO, the Company is subject to U.S. federal, state and local income taxes with respect to its allocable share of taxable income of Holdings LP assessed at the prevailing corporate tax rates. Holdings LP operates as a limited partnership for income tax purposes. Accordingly, the Company incurs federal and state income taxes for its portion of the taxable income or loss generated by Holdings LP. The income or losses attributable to the non-controlling interest holders are not included in the Company’s federal or state income tax returns. Consequently, the tax effects of the non-controlling interests are reflected as a permanent difference in the Company’s effective tax rate reconciliation.</w:t>
      </w:r>
    </w:p>
    <w:p>
      <w:pPr>
        <w:pStyle w:val="TextBody"/>
        <w:bidi w:val="0"/>
        <w:spacing w:lineRule="auto" w:line="288" w:before="0" w:after="160"/>
        <w:jc w:val="left"/>
        <w:rPr/>
      </w:pPr>
      <w:r>
        <w:rPr>
          <w:rFonts w:ascii="Times New Roman;serif" w:hAnsi="Times New Roman;serif"/>
          <w:b w:val="false"/>
          <w:color w:val="000000"/>
          <w:sz w:val="20"/>
        </w:rPr>
        <w:t>The Company incurred income tax expense of $0.1 million in the pre-IPO period from December 30, 2025</w:t>
      </w:r>
      <w:r>
        <w:rPr>
          <w:color w:val="000000"/>
        </w:rPr>
        <w:t xml:space="preserve"> </w:t>
      </w:r>
      <w:r>
        <w:rPr>
          <w:rFonts w:ascii="Times New Roman;serif" w:hAnsi="Times New Roman;serif"/>
          <w:b w:val="false"/>
          <w:color w:val="000000"/>
          <w:sz w:val="20"/>
        </w:rPr>
        <w:t>through May 7, 2026. For the period from May 8, 2026 through June 29, 2026, the Company recorded income tax expense of $0.5 million. For the six months ended June 29, 2026, the Company recorded income tax provisions of $0.6 million. For the six months ended June 30, 2025, the Company recorded income tax provisions of $1.0 million. The Company’s effective tax rate was (3.0)% for the six months ended June 29, 2026, and (19.0)% for the six months ended June 30, 2025. Significant reconciling items between this effective rate and the U.S. federal statutory tax rate of 21.0% are primarily related to the absence of taxes on income allocable to non-controlling interests and a full valuation allowance recorded during the six months ended June 29,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which contains a broad range of tax reforms that amend, eliminate, and extend various tax provisions under the expiring portions of the Tax Cuts and Jobs Act. In particular, the OBBBA contains several changes to corporate taxation including modifications to capitalization of research and development expenses, limitations on deductions for interest expense and accelerated fixed asset depreciation. The OBBBA has multiple effective dates concerning its tax provisions, with certain provisions effective in 2025 and other implemented through 2027. The Company does not expect the OBBBA to have a material impact on income taxes. The Company will continue to monitor the potential future impacts of the OBBBA, including provisions that become effective in subsequent periods, and will reflect any material changes in its accompanying consolidated financial statements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Deferred Tax Assets and Tax Receivable Agreement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establishes a valuation allowance on its deferred tax assets when it believes it is more likely than not that all or a portion of these deferred tax assets will not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initial deferred tax asset and the related valuation allowance were recorded as additional paid-in capital in the condensed consolidated balance sheets.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the Company entered into the TRA with the TRA Parties, which requires the Company to pay such persons 85% of the amount of cash savings, if any, in U.S. federal, state, and local income taxes that the Company realizes or is deemed to realize in certain circumstances (computed using certain assumptions) as a result of certain tax attributes and benefits covered by the TRA.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29, 2026, the total amount due under the TRA was $0.0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two operating segments which are also reportable segments:</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Suja Core which primarily produces and distributes cold-pressed fresh juice and cold-pressed juice shots.</w:t>
      </w:r>
    </w:p>
    <w:p>
      <w:pPr>
        <w:pStyle w:val="TextBody"/>
        <w:bidi w:val="0"/>
        <w:spacing w:lineRule="auto" w:line="288" w:before="0" w:after="160"/>
        <w:ind w:left="0" w:right="0" w:hanging="180"/>
        <w:jc w:val="left"/>
        <w:rPr/>
      </w:pPr>
      <w:r>
        <w:rPr>
          <w:color w:val="181717"/>
        </w:rPr>
        <w:t>•</w:t>
      </w:r>
      <w:r>
        <w:rPr>
          <w:rFonts w:ascii="Times New Roman;serif" w:hAnsi="Times New Roman;serif"/>
          <w:b w:val="false"/>
          <w:color w:val="181717"/>
          <w:sz w:val="20"/>
        </w:rPr>
        <w:t>Emerging Brands which consists of recently acquired or launched brands and products that are still in the early stages of revenue scale, market development, or distribution build-out.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revenue of the Company is derived within the United States. All long-lived assets are also located within the United States.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The CODM uses Adjusted EBITDA to assess segment performance and allocate resources between the two operating segments. The CODM uses Adjusted EBITDA to allocate resources between personnel costs, marketing, product design, usage of production facilities, deployment of sales teams and overall strategic direction for each segment. Intersegment revenue is eliminated within the reconciliation to loss before taxes. A reconciliation of net sales by reportable segment to condensed consolidated net sales is presented in the table below.</w:t>
      </w:r>
    </w:p>
    <w:tbl>
      <w:tblPr>
        <w:tblW w:w="10205" w:type="dxa"/>
        <w:jc w:val="left"/>
        <w:tblInd w:w="0" w:type="dxa"/>
        <w:tblLayout w:type="fixed"/>
        <w:tblCellMar>
          <w:top w:w="28" w:type="dxa"/>
          <w:left w:w="28" w:type="dxa"/>
          <w:bottom w:w="28" w:type="dxa"/>
          <w:right w:w="28" w:type="dxa"/>
        </w:tblCellMar>
      </w:tblPr>
      <w:tblGrid>
        <w:gridCol w:w="660"/>
        <w:gridCol w:w="458"/>
        <w:gridCol w:w="459"/>
        <w:gridCol w:w="109"/>
        <w:gridCol w:w="198"/>
        <w:gridCol w:w="654"/>
        <w:gridCol w:w="110"/>
        <w:gridCol w:w="110"/>
        <w:gridCol w:w="110"/>
        <w:gridCol w:w="110"/>
        <w:gridCol w:w="110"/>
        <w:gridCol w:w="234"/>
        <w:gridCol w:w="667"/>
        <w:gridCol w:w="130"/>
        <w:gridCol w:w="110"/>
        <w:gridCol w:w="110"/>
        <w:gridCol w:w="110"/>
        <w:gridCol w:w="109"/>
        <w:gridCol w:w="196"/>
        <w:gridCol w:w="661"/>
        <w:gridCol w:w="109"/>
        <w:gridCol w:w="119"/>
        <w:gridCol w:w="119"/>
        <w:gridCol w:w="119"/>
        <w:gridCol w:w="119"/>
        <w:gridCol w:w="215"/>
        <w:gridCol w:w="809"/>
        <w:gridCol w:w="119"/>
        <w:gridCol w:w="119"/>
        <w:gridCol w:w="119"/>
        <w:gridCol w:w="119"/>
        <w:gridCol w:w="119"/>
        <w:gridCol w:w="234"/>
        <w:gridCol w:w="667"/>
        <w:gridCol w:w="130"/>
        <w:gridCol w:w="109"/>
        <w:gridCol w:w="109"/>
        <w:gridCol w:w="109"/>
        <w:gridCol w:w="109"/>
        <w:gridCol w:w="196"/>
        <w:gridCol w:w="751"/>
        <w:gridCol w:w="172"/>
      </w:tblGrid>
      <w:tr>
        <w:trPr/>
        <w:tc>
          <w:tcPr>
            <w:tcW w:w="6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209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2026</w:t>
            </w:r>
          </w:p>
        </w:tc>
        <w:tc>
          <w:tcPr>
            <w:tcW w:w="2586" w:type="dxa"/>
            <w:gridSpan w:val="10"/>
            <w:tcBorders/>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sales</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190,913</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6"/>
        <w:gridCol w:w="465"/>
        <w:gridCol w:w="466"/>
        <w:gridCol w:w="109"/>
        <w:gridCol w:w="198"/>
        <w:gridCol w:w="654"/>
        <w:gridCol w:w="110"/>
        <w:gridCol w:w="110"/>
        <w:gridCol w:w="110"/>
        <w:gridCol w:w="110"/>
        <w:gridCol w:w="110"/>
        <w:gridCol w:w="234"/>
        <w:gridCol w:w="667"/>
        <w:gridCol w:w="130"/>
        <w:gridCol w:w="110"/>
        <w:gridCol w:w="110"/>
        <w:gridCol w:w="110"/>
        <w:gridCol w:w="109"/>
        <w:gridCol w:w="196"/>
        <w:gridCol w:w="661"/>
        <w:gridCol w:w="109"/>
        <w:gridCol w:w="119"/>
        <w:gridCol w:w="119"/>
        <w:gridCol w:w="119"/>
        <w:gridCol w:w="119"/>
        <w:gridCol w:w="215"/>
        <w:gridCol w:w="809"/>
        <w:gridCol w:w="119"/>
        <w:gridCol w:w="119"/>
        <w:gridCol w:w="119"/>
        <w:gridCol w:w="119"/>
        <w:gridCol w:w="119"/>
        <w:gridCol w:w="234"/>
        <w:gridCol w:w="667"/>
        <w:gridCol w:w="130"/>
        <w:gridCol w:w="109"/>
        <w:gridCol w:w="109"/>
        <w:gridCol w:w="109"/>
        <w:gridCol w:w="109"/>
        <w:gridCol w:w="196"/>
        <w:gridCol w:w="751"/>
        <w:gridCol w:w="172"/>
      </w:tblGrid>
      <w:tr>
        <w:trPr/>
        <w:tc>
          <w:tcPr>
            <w:tcW w:w="6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209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2586" w:type="dxa"/>
            <w:gridSpan w:val="10"/>
            <w:tcBorders/>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162,527 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sales</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162,527</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Adjusted EBITDA is a measure of the Company’s profit before the recognition of interest, depreciation, amortization, taxes and other adjustments which are described in the table below. The CODM receives information on cost of sales and marketing expense which are considered significant expenses.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data by segment is presented in the tables below for the three months ended June 29, 2026 and June 30, 2025, which includes a reconciliation of the Company’s measure of profit and loss back to loss before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does not present asset information for its segments as this information is not used to allocate resources. The measure of segment assets is reported on the condensed consolidated balance sheet as total condensed consolidated assets.</w:t>
      </w:r>
    </w:p>
    <w:tbl>
      <w:tblPr>
        <w:tblW w:w="10205" w:type="dxa"/>
        <w:jc w:val="left"/>
        <w:tblInd w:w="0" w:type="dxa"/>
        <w:tblLayout w:type="fixed"/>
        <w:tblCellMar>
          <w:top w:w="28" w:type="dxa"/>
          <w:left w:w="28" w:type="dxa"/>
          <w:bottom w:w="28" w:type="dxa"/>
          <w:right w:w="28" w:type="dxa"/>
        </w:tblCellMar>
      </w:tblPr>
      <w:tblGrid>
        <w:gridCol w:w="1224"/>
        <w:gridCol w:w="941"/>
        <w:gridCol w:w="945"/>
        <w:gridCol w:w="109"/>
        <w:gridCol w:w="196"/>
        <w:gridCol w:w="661"/>
        <w:gridCol w:w="109"/>
        <w:gridCol w:w="109"/>
        <w:gridCol w:w="109"/>
        <w:gridCol w:w="109"/>
        <w:gridCol w:w="109"/>
        <w:gridCol w:w="245"/>
        <w:gridCol w:w="762"/>
        <w:gridCol w:w="136"/>
        <w:gridCol w:w="109"/>
        <w:gridCol w:w="109"/>
        <w:gridCol w:w="109"/>
        <w:gridCol w:w="109"/>
        <w:gridCol w:w="693"/>
        <w:gridCol w:w="1440"/>
        <w:gridCol w:w="388"/>
        <w:gridCol w:w="109"/>
        <w:gridCol w:w="109"/>
        <w:gridCol w:w="109"/>
        <w:gridCol w:w="109"/>
        <w:gridCol w:w="196"/>
        <w:gridCol w:w="693"/>
        <w:gridCol w:w="159"/>
      </w:tblGrid>
      <w:tr>
        <w:trPr/>
        <w:tc>
          <w:tcPr>
            <w:tcW w:w="12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29, 2026</w:t>
              <w:b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 of Intersegment Revenue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14,648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Non-recurring costs</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Sponsor costs</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(28,270)</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9"/>
        <w:gridCol w:w="954"/>
        <w:gridCol w:w="959"/>
        <w:gridCol w:w="109"/>
        <w:gridCol w:w="196"/>
        <w:gridCol w:w="661"/>
        <w:gridCol w:w="109"/>
        <w:gridCol w:w="109"/>
        <w:gridCol w:w="109"/>
        <w:gridCol w:w="109"/>
        <w:gridCol w:w="109"/>
        <w:gridCol w:w="246"/>
        <w:gridCol w:w="766"/>
        <w:gridCol w:w="136"/>
        <w:gridCol w:w="109"/>
        <w:gridCol w:w="109"/>
        <w:gridCol w:w="109"/>
        <w:gridCol w:w="109"/>
        <w:gridCol w:w="702"/>
        <w:gridCol w:w="1457"/>
        <w:gridCol w:w="393"/>
        <w:gridCol w:w="109"/>
        <w:gridCol w:w="109"/>
        <w:gridCol w:w="109"/>
        <w:gridCol w:w="109"/>
        <w:gridCol w:w="196"/>
        <w:gridCol w:w="646"/>
        <w:gridCol w:w="158"/>
      </w:tblGrid>
      <w:tr>
        <w:trPr/>
        <w:tc>
          <w:tcPr>
            <w:tcW w:w="12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b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 of Intersegment Revenue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(5,771)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9,764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Non-recurring costs</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Sponsor costs</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Profit before taxes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(5,510)</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(1)Except for marketing expense and cost of goods sold which are identified as significant expenses, the Company’s CODM uses expense information in the aggregate when reviewing Adjusted EBITDA. Other segment items for each segment primarily includes personnel costs including sales commissions and bonuses, logistics costs to distribute the Company’s product, and other general and administrative costs.</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(2)Non-Recurring Costs - Includes consulting fees related to one-time system improvements, transaction bonuses, and one-time transition costs incurred to transition to a new storage facility.</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(3)Sponsor Costs - Includes fees paid in cash to the Company’s sponsor which will not recur subsequent to the IPO.</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 xml:space="preserve">(4)Transaction Costs - Consists of non-recurring costs directly attributable to the IPO, including IPO-related professional fees and expenses, equity-based compensation costs incurred as a result of the acceleration and modification of equity awards in connection with the IPO, one-time IPO-related transaction bonuses, and investor relations and travel expenses. These items are non-recurring in nature and do not reflect the Company’s ongoing operating performance.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data by segment is presented in the tables below for the six months ended June 29, 2026 and June 30, 2025, which includes a reconciliation of the Company’s measure of profit and loss back to loss before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6"/>
        <w:gridCol w:w="920"/>
        <w:gridCol w:w="923"/>
        <w:gridCol w:w="109"/>
        <w:gridCol w:w="196"/>
        <w:gridCol w:w="736"/>
        <w:gridCol w:w="109"/>
        <w:gridCol w:w="109"/>
        <w:gridCol w:w="109"/>
        <w:gridCol w:w="109"/>
        <w:gridCol w:w="109"/>
        <w:gridCol w:w="243"/>
        <w:gridCol w:w="756"/>
        <w:gridCol w:w="135"/>
        <w:gridCol w:w="109"/>
        <w:gridCol w:w="109"/>
        <w:gridCol w:w="109"/>
        <w:gridCol w:w="109"/>
        <w:gridCol w:w="680"/>
        <w:gridCol w:w="1413"/>
        <w:gridCol w:w="381"/>
        <w:gridCol w:w="109"/>
        <w:gridCol w:w="109"/>
        <w:gridCol w:w="109"/>
        <w:gridCol w:w="109"/>
        <w:gridCol w:w="196"/>
        <w:gridCol w:w="736"/>
        <w:gridCol w:w="158"/>
      </w:tblGrid>
      <w:tr>
        <w:trPr/>
        <w:tc>
          <w:tcPr>
            <w:tcW w:w="120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29, 2026</w:t>
              <w:b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 of Intersegment Revenue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(3,214)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39,671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Non-recurring costs</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Sponsor costs</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(19,471)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2"/>
        <w:gridCol w:w="925"/>
        <w:gridCol w:w="928"/>
        <w:gridCol w:w="109"/>
        <w:gridCol w:w="196"/>
        <w:gridCol w:w="736"/>
        <w:gridCol w:w="109"/>
        <w:gridCol w:w="109"/>
        <w:gridCol w:w="109"/>
        <w:gridCol w:w="109"/>
        <w:gridCol w:w="109"/>
        <w:gridCol w:w="244"/>
        <w:gridCol w:w="757"/>
        <w:gridCol w:w="135"/>
        <w:gridCol w:w="109"/>
        <w:gridCol w:w="109"/>
        <w:gridCol w:w="109"/>
        <w:gridCol w:w="109"/>
        <w:gridCol w:w="684"/>
        <w:gridCol w:w="1419"/>
        <w:gridCol w:w="383"/>
        <w:gridCol w:w="109"/>
        <w:gridCol w:w="109"/>
        <w:gridCol w:w="109"/>
        <w:gridCol w:w="109"/>
        <w:gridCol w:w="196"/>
        <w:gridCol w:w="736"/>
        <w:gridCol w:w="158"/>
      </w:tblGrid>
      <w:tr>
        <w:trPr/>
        <w:tc>
          <w:tcPr>
            <w:tcW w:w="118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b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 of Intersegment Revenue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(9,478)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24,813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Non-recurring costs</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Sponsor costs</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Profit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(5,422)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(1)Except for marketing expense and cost of goods sold which are identified as significant expenses, the Company’s CODM uses expense information in the aggregate when reviewing Adjusted EBITDA. Other segment items for each segment primarily includes personnel costs including sales commissions and bonuses, logistics costs to distribute the Company’s product, and other general and administrative costs.</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(2)Non-Recurring Costs - Includes consulting fees related to one-time system improvements, transaction bonuses, and one-time transition costs incurred to transition to a new storage facility.</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(3)Sponsor Costs - Includes fees paid in cash to the Company’s sponsor which will not recur subsequent to the IPO.</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 xml:space="preserve">(4)Transaction Costs - Consists of non-recurring costs directly attributable to the IPO, including IPO-related professional fees and expenses, equity-based compensation costs incurred as a result of the acceleration and modification of equity awards in connection with the IPO, one-time IPO-related transaction bonuses, and investor relations and travel expenses. These items are non-recurring in nature and do not reflect the Company’s ongoing operating performance. </w:t>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and related notes included elsewhere in this Quarterly Report on Form 10-Q. This discussion contains forward-looking statements that are based on the beliefs of management, as well as assumptions made by, and information currently available to our management. Actual results could differ materially from those discussed or implied by the forward-looking statements, as a result of various factors including those discussed below and in the section entitled “Forward-Looking Statements” included in this Quarterly Report on Form 10-Q and the sections entitled “Forward-Looking Statements” and “Risk Factors” included in the Prospectus. Our historical results are not necessarily indicative of the results that may be expected for any period in the future.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Unless otherwise noted, any reference to a year preceded by the word “fiscal” refers to the fiscal year ended the Monday closest to December 31 for that year. For example, references to “fiscal 2025” refer to the fiscal year ended December 29, 2025 and references to “fiscal 2024” refer to the fiscal year ended December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jc w:val="left"/>
        <w:rPr/>
      </w:pPr>
      <w:r>
        <w:rPr>
          <w:rFonts w:ascii="Times New Roman;serif" w:hAnsi="Times New Roman;serif"/>
          <w:b w:val="false"/>
          <w:color w:val="000000"/>
          <w:sz w:val="20"/>
        </w:rPr>
        <w:t>Suja Life is a modern beverage platform at the forefront of one of the most powerful consumer transformations of our time: the shift toward functional, better-for-you beverages. We operate at the intersection of health, taste, and trust, offering cold-pressed juices, wellness shots, and functional sodas that have become an essential part of consumers’ everyday routines. Our three brands — </w:t>
      </w:r>
      <w:r>
        <w:rPr>
          <w:rFonts w:ascii="Times New Roman;serif" w:hAnsi="Times New Roman;serif"/>
          <w:b w:val="false"/>
          <w:i/>
          <w:color w:val="000000"/>
          <w:sz w:val="20"/>
        </w:rPr>
        <w:t>Suja Organic, Vive Organic</w:t>
      </w:r>
      <w:r>
        <w:rPr>
          <w:rFonts w:ascii="Times New Roman;serif" w:hAnsi="Times New Roman;serif"/>
          <w:b w:val="false"/>
          <w:color w:val="000000"/>
          <w:sz w:val="20"/>
        </w:rPr>
        <w:t>, and </w:t>
      </w:r>
      <w:r>
        <w:rPr>
          <w:rFonts w:ascii="Times New Roman;serif" w:hAnsi="Times New Roman;serif"/>
          <w:b w:val="false"/>
          <w:i/>
          <w:color w:val="000000"/>
          <w:sz w:val="20"/>
        </w:rPr>
        <w:t>Slice —</w:t>
      </w:r>
      <w:r>
        <w:rPr>
          <w:color w:val="000000"/>
        </w:rPr>
        <w:t> </w:t>
      </w:r>
      <w:r>
        <w:rPr>
          <w:rFonts w:ascii="Times New Roman;serif" w:hAnsi="Times New Roman;serif"/>
          <w:b w:val="false"/>
          <w:color w:val="000000"/>
          <w:sz w:val="20"/>
        </w:rPr>
        <w:t>form a complementary portfolio that reaches consumers across multiple beverage occasions.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Notwithstanding current macro-economic and competitive pressures on consumer spending and our categories, we believe our portfolio of brands, innovation leadership, operational excellence, and strong retail partnerships position us to continue to capture significant growth in the long-term as functional beverages continue to transition from early adoption to mainstream consumption.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Initial Public Offering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8, 2026, we consummated our IPO of 8,888,889 shares of our Class A common stock at a public offering price of $21.00 per share, resulting in proceeds to us of approximately $173.6 million, less $13.1 million of underwriting discounts and commissions but before offering expenses payable by us.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completed the organizational transactions described in Note 1 of the condensed consolidated financial statements included herein.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a result of the IPO, we incurred additional compensation related costs associated with modifications to incentive units outstanding prior to the IPO, and the issuance of (i) new performance-based restricted stock, (ii) performance-based restricted stock units and (iii) time-based restricted stock units under the Suja Life, Inc. 2026 Omnibus Incentive Plan (the “Omnibus Plan”) to certain of our employees and directors. Some of these actions are described in more detail in in Note 12 of the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60"/>
        <w:jc w:val="left"/>
        <w:rPr/>
      </w:pPr>
      <w:r>
        <w:rPr>
          <w:rFonts w:ascii="Times New Roman;serif" w:hAnsi="Times New Roman;serif"/>
          <w:b w:val="false"/>
          <w:color w:val="000000"/>
          <w:sz w:val="20"/>
        </w:rPr>
        <w:t>We have two reportable segments: Suja Core and Emerging Brands. Suja Core primarily produces and distributes cold-pressed juices and wellness shots. Suja Core reflects the financial results of </w:t>
      </w:r>
      <w:r>
        <w:rPr>
          <w:rFonts w:ascii="Times New Roman;serif" w:hAnsi="Times New Roman;serif"/>
          <w:b w:val="false"/>
          <w:i/>
          <w:color w:val="000000"/>
          <w:sz w:val="20"/>
        </w:rPr>
        <w:t>Suja Organic’s</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Vive Organic’s</w:t>
      </w:r>
      <w:r>
        <w:rPr>
          <w:color w:val="000000"/>
        </w:rPr>
        <w:t> </w:t>
      </w:r>
      <w:r>
        <w:rPr>
          <w:rFonts w:ascii="Times New Roman;serif" w:hAnsi="Times New Roman;serif"/>
          <w:b w:val="false"/>
          <w:color w:val="000000"/>
          <w:sz w:val="20"/>
        </w:rPr>
        <w:t>operations. Emerging Brands consists of recently acquired or launched brands and products that are still in the early stages of revenue scale, market development, or distribution build-out.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Emerging Brands segment began producing and distributing products in December of fiscal 2024. For the three and six months ended June 29, 2026 and June 30, 2025, Emerging Brands’ products consist of healthy functional sodas sold under the Slice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performance of our business and our future success depend upon several critical factors. While each presents significant opportunities, they also pose important challenges that we must successfully address to sustain growth and improve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Accelerating Adoption of Better-For-You Products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Consumer adoption of natural healthy beverages has accelerated as wellness becomes a universal priority, although category growth has moderated more recently. According to a Company survey conducted in September 2025, approximately 80% of consumers are constantly seeking beverages that are healthier, 82% of consumers want beverages with lower sugar, 90% of consumers desire additional functional benefits from their beverages, and 77% of consumers are willing to pay more for “beverages that are better for them,” demonstrating significant demand for wellness solutions.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we have substantial opportunity to expand our consumer base and increase purchase frequency through broader distribution, optimized retail placement, and focused marketing efforts that communicate our functional benefits to target consumers. We believe targeted marketing investments can effectively capture this demographic and drive increased household adoption.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Increasing Velocity Through User Growth and Purchase Frequency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growth strategy focuses, in part, on both expanding our user base and increasing the frequency with which existing consumers purchase our products. As consumers integrate functional beverages into their daily wellness routines, purchase occasions may multiply across different dayparts and use cases. We seek to drive velocity growth through product innovation that creates new consumption occasions, strategic merchandising that increases visibility at retail, and consumer education that reinforces habitual usage patterns. Our role as category captain enables us to optimize shelf placement and promotional strategies that drive trial and repeat purchase. Additionally, our multi-brand portfolio allows us to drive cross-purchase of brands as consumers select products and brands aligned with their specific wellness needs. For customers tracked in a Nielsen report for the thirteen weeks ended June 27, 2026 (which represent less than half of our total net sales), our velocity rates declined in Q2 relative to the prior-year period. We expect this headwind to persist in the third quarter of 2026.</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Continued Expansion of Our Retail Distribution Footprint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significant opportunity to increase distribution reach and make our products more readily accessible by driving store penetration in existing channels and expanding into new retail formats. We maintain deep relationships with several of the largest retailers in grocery, mass, natural, and club channels, and we believe substantial runway exists to deepen our portfolio offerings within these existing customers.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Beyond current retail partners, we are increasing our distribution breadth. Within new channels, we see significant whitespace in convenience stores and the broader away-from-home category. We are executing a convenience store penetration strategy with distribution wins at key national chains. Similarly, we currently have limited presence in away-from-home channels including college campuses, fitness facilities, and airports. We believe our functional benefits align strongly with on-the-go consumer behaviors and position us to penetrate and outperform in these high-frequency, impulse-driven retail environments.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Innovation Leadership Creating New Category Opportunities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success depends on maintaining innovation leadership that anticipates and addresses evolving consumer wellness needs. We take a highly focused, data-driven approach to product development, identifying opportunity areas based on consumer preferences and category insights derived from our advanced analytics capabilities.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Our innovation efforts focus on three strategic priorities: enhancing formulations and nutritional profiles of existing products, creating new offerings within established categories, and expanding into adjacent wellness segments such as our endeavor with Slice. We continue investing in innovation across our portfolio, with 11.6% of net sales growth for the three months ended June 29, 2026, when compared to the three months ended June 30, 2025 coming from our new SKUs. Our vertically integrated manufacturing platform enables rapid innovation cycles, bringing new products to market in weeks rather than months while maintaining superior quality standards. This speed-to-market advantage allows us to capitalize on emerging wellness trends often ahead of competitors.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Strategic M&amp;A Accelerating Platform Growth</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established ourselves as a strategic acquirer of choice in the Natural Health Beverage market, with a demonstrated track record of identifying and integrating premium brands that benefit from our platform capabilities. Our acquisition strategy focuses on brands with strong consumer loyalty, differentiated positioning, and proven product-market fit that can leverage our manufacturing scale, distribution relationships, and category insights to accelerate growth while improving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With a fragmented market of emerging wellness brands seeking scale and operational expertise, we are well-positioned to continue consolidating the space through strategic, accretive acquisitions. Our platform approach — combining manufacturing capacity, distribution reach, category insights, and marketing capabilities — creates substantial value for acquired brands while strengthening our competitive position and expanding our addressable market opportunity.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strive for successfully integrated businesses complementary to our own, such as Vive Organic, to increase both our distribution reach and our product capabilities. We continuously evaluate acquisitions and intend to further pursue targeted acquisitions that complement our product capabilities or provide us access to new markets. We have previously made and intend to continue to make acquisitions with the objective of enhancing our human capital, product capabilities, entering natural adjacencies, and expanding geographic footprint. Our ability to successfully pursue strategic acquisitions is dependent upon a number of factors, including sustained execution of a disciplined and selective acquisition strategy and our ability to effectively integrate targeted companies or assets and grow our business. We do not have agreements or commitments for any significant acquisitions at this time.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Economic and Competitive Conditions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Consumer demand for our products is sensitive to a number of factors that influence consumer confidence and spending, such as general economic conditions, consumer disposable income, recession and fears of recession, unemployment, minimum wages, inflation, consumer confidence in future economic conditions and political conditions, and consumer perceptions of personal well-being and security. Consumer preferences tend to shift to lower-cost alternatives during recessionary periods and other periods in which disposable income is adversely affected, and economic pressures have recently caused consumers to change how and where they spend. Functional and other specialty beverages in particular may be, and have been, more susceptible to discretionary consumer spending levels. In addition, competitors have been lowering prices and increasing promotional activity as a result of shoppers seeking value, which we expect will impact our results in the third quarter of 2026.</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Impact of Seasonality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Seasonality can influence our results of operations from quarter to quarter. We tend to generate a higher percentage of our annual net sales in the first and fourth quarters of each year. In the first quarter, consumers tend to focus their purchases more heavily on healthy and functional beverages to support “new year, new you” and “back to health” trends, while in the fourth quarter, consumers tend to focus their purchases more heavily on immunity and staying healthy in the cold and flu season.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generate sales through the sale of functional and health-focused beverages. Our sales are predominantly made to retailers or distributors for final sale to consumers through retail channels, which include sales to traditional brick and mortar and online retailers. We also offer our products through our own website.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offer sales incentives to our customers that are designed to support the distribution of our products to consumers. These incentives include discounts, trade promotions and price allowances. These amounts are deducted from gross sales to arrive at our 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historically experienced substantial growth in net sales since inception. The following factors and trends in our business have driven net sales growth over this period and are expected to continue to be key drivers of our net sales growth for the foreseeable future:</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increasing sales velocity across all channels by increasing awareness, trial, and adoption of our products. Our investments in marketing and advertising help to drive awareness and trial across all points of sale;</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expanding of our retailer and distribution network across new and existing channels;</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focusing on product innovation by improving the formulations and nutrition of our existing products, creating new products within our existing categories, and expanding into new product categories; and</w:t>
      </w:r>
    </w:p>
    <w:p>
      <w:pPr>
        <w:pStyle w:val="TextBody"/>
        <w:bidi w:val="0"/>
        <w:spacing w:lineRule="auto" w:line="288" w:before="0" w:after="240"/>
        <w:ind w:left="0" w:right="0" w:hanging="180"/>
        <w:jc w:val="left"/>
        <w:rPr/>
      </w:pPr>
      <w:r>
        <w:rPr>
          <w:color w:val="181717"/>
        </w:rPr>
        <w:t>•</w:t>
      </w:r>
      <w:r>
        <w:rPr>
          <w:rFonts w:ascii="Times New Roman;serif" w:hAnsi="Times New Roman;serif"/>
          <w:b w:val="false"/>
          <w:color w:val="181717"/>
          <w:sz w:val="20"/>
        </w:rPr>
        <w:t>continuing to assess accretive M&amp;A opportunities to accelerate category leadership and expand reach into complementary, high growth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 includes raw materials, direct and indirect labor and other costs associated with production, such as inbound freight and plant expenses, depreciation, and amortization expense. Cost of sales are impacted by macroeconomic factors including, but not limited to, inflationary pressures and tariffs.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profit is net sales less cost of sales. Gross profit has been, and will continue to be, affected by various factors, including the mix of products we sell, the channel through which we sell our products, the promotional environment in the marketplace, manufacturing costs, commodity prices and freight rates.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expenses include marketing expenses, sales expenses, amortization expenses, and general and administrative expenses. Selling and marketing expenses consist primarily of costs incurred marketing and ensuring on-shelf availability of our products and are primarily driven by investments to grow our business and acquire and retain customers. General and administrative expense includes payroll, employee benefits, incentive unit compensation, finance, information technology, human resources and other administrative-related personnel, as well as general overhead costs of the business, including research and development for new innovations, rent and related facilities and maintenance costs, freight costs, depreciation and amortization and legal, accounting and professional fees. We expect operating expenses to increase as we continue to scale our operations to meet our product demand, continue to build our product portfolio, and add personnel to our sales and marketing organization. We also incur additional costs associated with operating as a public company, including increased expenses related to legal, audit, accounting, regulatory, and tax-related services associated with maintaining compliance with exchange listing and SEC requirements, director and officer insurance costs, investor and public relations costs, and other administrative and professional services.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Initial Public Offering - Transaction Costs and Loss on Debt Extinguishment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consummation of our IPO, the Company recognized certain costs that are typically categorized as operating expenses within the Transaction costs financial statement line item. These costs consisted of non-recurring costs directly attributable to the IPO, including IPO-related professional fees and expenses, equity-based compensation costs incurred as a result of the acceleration and modification of equity awards in connection with the IPO, one-time IPO-related transaction bonuses, and investor relations and travel expenses.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Further, as part of the IPO, the Company also recognized a loss on debt extinguishment as a portion of the proceeds from the IPO were used to repay $142.6 million of outstanding borrowings under the Credit Agreement. The repayment represented a partial extinguishment of the Term Loan, including separately identified debt issuance costs and contractual prepayment premiums, and a repayment of then outstanding borrowings under the Revolver Credit Facility.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consists of interest on our financing arrangements as well as any related deferred financing costs and discounts being expensed over the life of such financing arrangements.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 xml:space="preserve">Provision For (Benefit From) Income Taxes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consists primarily of income taxes in U.S. federal, state, and local jurisdictions and certain foreign jurisdictions in which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29, 2026 and June 30, 2025</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condensed consolidated statements of operations for each of the periods indicated. The comparisons of our historical results are not necessarily indicative of the results that may be expected in the future, and the quarter-to-quarter comparisons are not necessarily indicative of the results to be expected for the full year or any other period. Our operations are primarily driven by the Suja Core segment given that the Emerging Brands segment has not yet had a significant impact on our overall business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1300" w:type="dxa"/>
        <w:jc w:val="left"/>
        <w:tblInd w:w="0" w:type="dxa"/>
        <w:tblLayout w:type="fixed"/>
        <w:tblCellMar>
          <w:top w:w="28" w:type="dxa"/>
          <w:left w:w="28" w:type="dxa"/>
          <w:bottom w:w="28" w:type="dxa"/>
          <w:right w:w="28" w:type="dxa"/>
        </w:tblCellMar>
      </w:tblPr>
      <w:tblGrid>
        <w:gridCol w:w="649"/>
        <w:gridCol w:w="268"/>
        <w:gridCol w:w="269"/>
        <w:gridCol w:w="196"/>
        <w:gridCol w:w="661"/>
        <w:gridCol w:w="109"/>
        <w:gridCol w:w="109"/>
        <w:gridCol w:w="109"/>
        <w:gridCol w:w="109"/>
        <w:gridCol w:w="196"/>
        <w:gridCol w:w="646"/>
        <w:gridCol w:w="109"/>
        <w:gridCol w:w="109"/>
        <w:gridCol w:w="109"/>
        <w:gridCol w:w="109"/>
        <w:gridCol w:w="329"/>
        <w:gridCol w:w="332"/>
        <w:gridCol w:w="221"/>
        <w:gridCol w:w="109"/>
        <w:gridCol w:w="109"/>
        <w:gridCol w:w="109"/>
        <w:gridCol w:w="353"/>
        <w:gridCol w:w="353"/>
        <w:gridCol w:w="367"/>
        <w:gridCol w:w="109"/>
        <w:gridCol w:w="109"/>
        <w:gridCol w:w="109"/>
        <w:gridCol w:w="196"/>
        <w:gridCol w:w="736"/>
        <w:gridCol w:w="109"/>
        <w:gridCol w:w="109"/>
        <w:gridCol w:w="109"/>
        <w:gridCol w:w="109"/>
        <w:gridCol w:w="196"/>
        <w:gridCol w:w="736"/>
        <w:gridCol w:w="109"/>
        <w:gridCol w:w="109"/>
        <w:gridCol w:w="109"/>
        <w:gridCol w:w="109"/>
        <w:gridCol w:w="330"/>
        <w:gridCol w:w="331"/>
        <w:gridCol w:w="221"/>
        <w:gridCol w:w="109"/>
        <w:gridCol w:w="109"/>
        <w:gridCol w:w="109"/>
        <w:gridCol w:w="285"/>
        <w:gridCol w:w="286"/>
        <w:gridCol w:w="418"/>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(22,140)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(391.3)</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(13,614)</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(211.1)</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14,648 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9,764 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4,884 </w:t>
            </w:r>
          </w:p>
        </w:tc>
        <w:tc>
          <w:tcPr>
            <w:tcW w:w="22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367"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39,671 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24,813 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14,858 </w:t>
            </w:r>
          </w:p>
        </w:tc>
        <w:tc>
          <w:tcPr>
            <w:tcW w:w="22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18"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*Not meaningful</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comparative summary of the Company’s net sales:</w:t>
      </w:r>
    </w:p>
    <w:tbl>
      <w:tblPr>
        <w:tblW w:w="10928" w:type="dxa"/>
        <w:jc w:val="left"/>
        <w:tblInd w:w="0" w:type="dxa"/>
        <w:tblLayout w:type="fixed"/>
        <w:tblCellMar>
          <w:top w:w="28" w:type="dxa"/>
          <w:left w:w="28" w:type="dxa"/>
          <w:bottom w:w="28" w:type="dxa"/>
          <w:right w:w="28" w:type="dxa"/>
        </w:tblCellMar>
      </w:tblPr>
      <w:tblGrid>
        <w:gridCol w:w="484"/>
        <w:gridCol w:w="263"/>
        <w:gridCol w:w="25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240"/>
        <w:gridCol w:w="241"/>
        <w:gridCol w:w="36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40"/>
        <w:gridCol w:w="241"/>
        <w:gridCol w:w="418"/>
      </w:tblGrid>
      <w:tr>
        <w:trPr/>
        <w:tc>
          <w:tcPr>
            <w:tcW w:w="4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Net sales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Suja Core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190,913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162,527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28,385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a consolidated basis, net sales increased by $8.7 million, or 11.6% to $83.9 million for the three months ended June 29, 2026, from $75.2 million for the three months ended June 30, 2025. On a consolidated basis, net sales increased by $28.4 million, or 17.5% to $190.9 million for the six months ended June 29, 2026, from $162.5 million for the six months ended June 30, 2025. The increase in net sales was primarily driven by higher volumes within the Suja Core Segment and Emerging Brands Segment due to increased consumer demand.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Suja Core were $81.9 million for the three months ended June 29, 2026, an increase of $7.3 million, or 9.8%, from $74.6 million for the three months ended June 30, 2025. This increase was primarily driven by a 6.9% increase in selling units shipment volume attributable to growth in Suja Single Serve Juice and Suja and Vive Shots reflecting expanded distribution of new products and improved consumer takeaway across several key retail customers. In addition, multi-pack consumer purchases, particularly within the Suja and Vive Shots portfolio, grew at a faster rate than single-serve purchases, resulting in a slightly higher average price per selling unit. Growth in the quarter versus prior year was partially offset by slightly unfavorable shipment timing at the beginning of the three months ended June 29, 2026 that benefitted the previous three months ended March 30, 2026. Net sales for Suja Core were $186.9 million for the six months ended June 29, 2026, an increase of $25.9 million, or 16.1%, from $161.0 million for the six months ended June 30, 2025. This increase was primarily driven by expanded distribution of new products, improved consumer takeaway, and more effective promotional execution with key retailers.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Net sales for Emerging Brands were $3.0 million for the three months ended June 29, 2026, an increase of $1.1 million, or 61.2%, from $1.9 million for the three months ended June 30, 2025. This increase was primarily driven by a 72.1% increase in selling units shipment volume, reflecting expanded distribution for new products and improved consumer takeaway across several key retail customers. Net sales for Emerging Brands were $6.1 million for the six months ended June 29, 2026, an increase of $2.0 million, or 50.0%, from $4.0 million for the six months ended June 30, 2025. This increase was primarily driven by expanded distribution and improved consumer takeaway.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Cost of Sales and Gross Profit</w:t>
      </w:r>
    </w:p>
    <w:tbl>
      <w:tblPr>
        <w:tblW w:w="10898" w:type="dxa"/>
        <w:jc w:val="left"/>
        <w:tblInd w:w="0" w:type="dxa"/>
        <w:tblLayout w:type="fixed"/>
        <w:tblCellMar>
          <w:top w:w="28" w:type="dxa"/>
          <w:left w:w="28" w:type="dxa"/>
          <w:bottom w:w="28" w:type="dxa"/>
          <w:right w:w="28" w:type="dxa"/>
        </w:tblCellMar>
      </w:tblPr>
      <w:tblGrid>
        <w:gridCol w:w="469"/>
        <w:gridCol w:w="268"/>
        <w:gridCol w:w="26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278"/>
        <w:gridCol w:w="278"/>
        <w:gridCol w:w="367"/>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278"/>
        <w:gridCol w:w="278"/>
        <w:gridCol w:w="418"/>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Cost of sales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Suja Core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Gross profit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Suja Core</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93,280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Gross margin (percentage of net sales)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Suja Core</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margin</w:t>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(0.7)</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a consolidated basis, cost of sales increased $5.1 million, or 13.0%, to $44.7 million for the three months ended June 29, 2026, from $39.5 million for the three months ended June 30, 2025. On a consolidated basis, cost of sales increased $12.9 million, or 15.2%, to $97.6 million for the six months ended June 29, 2026, from $84.7 million for the six months ended June 30,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29, 2026, the increase was driven by a $5.0 million increase of Suja Core cost of sales. Suja Core cost of sales increased as a result of the 6.9% growth in selling units shipment volume. Operational efficiency gains were offset by slightly higher input and logistics costs and unfavorable absorption timing as finished goods inventory was built during the three months ended March 30, 2026 to satisfy shipment demand in the three months ended June 29, 2026, resulting in unfavorable absorption as those goods were shipped and inventory returned to historical levels in the three months ended June 29, 2026. For the six months ended June 29, 2026, the increase was driven by a $12.7 million increase of Suja Core cost of sales. Suja Core cost of sales increased as a result of the 7.7% growth in selling units shipment volume. Operational efficiency gains were partially offset by slightly higher input and logistics costs and unfavorable package mix as multi-pack consumer purchases, particularly within the Suja and Vive Shots portfolio, grew at a faster rate than single-serve purchases. Multi-packs have higher manufacturing and packaging costs than single-serve packages.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Cost of sales for Emerging Brands was $1.7 million for the three months ended June 29, 2026 and $1.6 million for the three months ended June 30, 2025. Cost of sales for Emerging Brands was $3.1 million for the six months ended June 29, 2026 and $2.9 million for the six months ended June 30, 2025. In each case, lower finished goods costs per unit, driven by the absence of one-time startup costs incurred in fiscal 2025 and reduced input costs from sourcing efficiencies, nearly offset all cost increases associated with increased net sales.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a consolidated basis, gross profit increased by $3.5 million, or 9.9% to $39.2 million for the three months ended June 29, 2026, from $35.6 million for the three months ended June 30, 2025. On a consolidated basis, gross profit increased by $15.5 million, or 19.9%, to $93.3 million for the six months ended June 29, 2026, from $77.8 million for the six months ended June 30, 2025.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29, 2026, Suja Core gross profit increased by $2.3 million, which increase was driven by an increase in Suja Core selling units volume from expanded distribution and improved consumer takeaway. Gross margin was 47.5% for the three months ended June 29, 2026 and 49.1% for the three months ended June 30, 2025 as operational efficiency gains were offset by unfavorable absorption timing and slightly higher input and logistics costs.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six months ended June 29, 2026, Suja Core gross profit increased by $13.2 million, which increase was driven by an increase in Suja Core selling units volume and improved absorption from higher production volume. Gross margin was 49.4% for the six months ended June 29, 2026 and 49.2% for the six months ended June 30, 2025. This was due to more effective promotional execution and unfavorable multi-pack package mix as multi-packs have higher manufacturing and packaging costs than single-serve packages.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29, 2026, Emerging Brands gross profit increased by $1.0 million, which increase was driven by growth in Emerging Brands selling units volume from increased distribution and improved consumer takeaway. The average cost of sales per selling unit decreased 41% from sourcing efficiencies, and one-time startup costs incurred in fiscal 2025 that were not repeated in fiscal 2026, resulting in a gross margin increase to 44.1% for the three months ended June 29, 2026, compared to 16.3% for the three months ended June 30, 2025. For the six months ended June 29, 2026, Emerging Brands gross profit increased by $1.8 million driven by growth in Emerging Brands selling units volume from increased distribution and improved consumer takeaway. The average cost of sales per selling unit decreased 55% benefitting from sourcing efficiencies and one-time startup costs incurred in fiscal 2025 that were not repeated in fiscal 2026, resulting in a gross margin increase to 48.1% for the six months ended June 29, 2026, compared to 27.1% for the six months ended June 30,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Operating Expenses, Initial Public Offering - Transaction Costs and Loss on Debt Extinguishment</w:t>
      </w:r>
    </w:p>
    <w:tbl>
      <w:tblPr>
        <w:tblW w:w="10763" w:type="dxa"/>
        <w:jc w:val="left"/>
        <w:tblInd w:w="0" w:type="dxa"/>
        <w:tblLayout w:type="fixed"/>
        <w:tblCellMar>
          <w:top w:w="28" w:type="dxa"/>
          <w:left w:w="28" w:type="dxa"/>
          <w:bottom w:w="28" w:type="dxa"/>
          <w:right w:w="28" w:type="dxa"/>
        </w:tblCellMar>
      </w:tblPr>
      <w:tblGrid>
        <w:gridCol w:w="414"/>
        <w:gridCol w:w="258"/>
        <w:gridCol w:w="25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240"/>
        <w:gridCol w:w="241"/>
        <w:gridCol w:w="367"/>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240"/>
        <w:gridCol w:w="241"/>
        <w:gridCol w:w="418"/>
      </w:tblGrid>
      <w:tr>
        <w:trPr/>
        <w:tc>
          <w:tcPr>
            <w:tcW w:w="4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 and transaction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(25,953)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(68,430)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42.5</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expenses and transaction costs for the three months ended June 29, 2026 were $59.7 million, which includes $25.1 million in one-time IPO-related transaction costs. Operating expenses were $34.6 million, an increase of $0.9 million, or 2.6% from $33.8 million for the three months ended June 30, 2025. This increase in operating expenses was primarily due to a $0.9 million increase in freight expenses, driven by increased shipment volume and a $2.9 million increase in administrative, sales, payroll, and other operating expenses primarily attributable to selling-related costs, IT efficiency project implementation costs and personnel, and public company costs, partially offset by a $3.4 million decrease in marketing spend related to general advertising, branding, shopper marketing, samples, and field marketing. Of the decrease in marketing spend, $3.2 million relates directly to the Emerging Brands segment and a $0.2 million decrease in marketing spend within the 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expenses and transaction costs for the six months ended June 29, 2026 were $97.5 million, which includes $25.1 million in one-time IPO-related transaction costs. Operating expenses were $72.5 million, an increase of $4.0 million, or 5.9%, from $68.4 million for the six months ended June 30, 2025. This increase in operating expenses was primarily due to a $2.5 million increase in freight expenses, driven by increased shipment volume and a $4.6 million increase in administrative, sales, payroll, and other operating expenses primarily attributable to selling-related costs, IT efficiency project implementation costs and personnel and public company costs, partially offset by a $3.5 million decrease in marketing spend related to general advertising, branding, shopper marketing, samples, and field marketing. Of the decrease in marketing spend,$3.9 million relates directly to the Emerging Brands segment, offset by a $0.4 million increase in marketing spend within the 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a result of the Company’s IPO, a total of $27.3 million costs were recognized for the three and six months ended June 29, 2026 and June 30, 2025. These costs included one-time IPO-related transaction costs of $25.1 million and loss on debt extinguishment of $2.3 million.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was $5.4 million for the three months ended June 29, 2026 compared to $7.5 million for the three months ended June 30, 2025, a decrease of $2.1 million. Interest expense was $12.9 million for the six months ended June 29, 2026 compared to $14.9 million for the six months ended June 30, 2025, a decrease of $2.0 million. Interest expense decreased between periods as IPO proceeds were used to pay down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29, 2026 was $14.6 million, an increase of $4.9 million, or 50.0%, from $9.8 million for the three months ended June 30, 2025. Adjusted EBITDA for the six months ended June 29, 2026 was $39.7 million, an increase of $14.9 million, or 59.9%, from $24.8 million for the six months ended June 30, 2025.</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Suja Core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Suja Core Segment Adjusted EBITDA for the three months ended June 29, 2026 was $16.0 million, an increase of $0.5 million, or 2.9%, from $15.5 million for the three months ended June 30, 2025. The increase in Suja Core Adjusted EBITDA was driven by an increase in gross profit of $2.3 million, or 6.3%, as described above, offset by a $1.9 million decrease in other segment items. Other segment items include marketing costs, personnel costs comprised of sales commissions and bonuses, logistical costs to distribute products, and other general and administrative costs.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Suja Core Segment Adjusted EBITDA for the six months ended June 29, 2026 was $42.9 million, an increase of $8.6 million, or 25.1%, from $34.3 million for the six months ended June 30, 2025. The increase in Suja Core Adjusted EBITDA was driven by an increase in gross profit of $13.2 million, or 16.6%, as described above, offset by a $4.6 million increase in other segment items. Other segment items include marketing costs, personnel costs comprised of sales commissions and bonuses, logistical costs to distribute products, and other general and administrative costs.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Emerging Brands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Brands Segment Adjusted EBITDA loss for the three months ended June 29, 2026 was $1.3 million, compared to $5.8 million for the three months ended June 30, 2025, with the loss decreasing by $4.4 million period over period. The decrease in loss was driven by an increase in gross profit of $1.0 million, as described above, and a $3.4 million decrease in other segment items, driven by reduced marketing spend.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Emerging Brands Segment Adjusted EBITDA loss for the six months ended June 29, 2026 was $3.2 million, compared to $9.5 million for the six months ended June 30, 2025, with the loss decreasing by $6.3 million period over period. The decrease in loss was driven by an increase in gross profit of $1.8 million, as described above, and a $4.4 million decrease in other segment items, driven by reduced marketing spend.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60"/>
        <w:jc w:val="left"/>
        <w:rPr/>
      </w:pPr>
      <w:r>
        <w:rPr>
          <w:rFonts w:ascii="Times New Roman;serif" w:hAnsi="Times New Roman;serif"/>
          <w:b w:val="false"/>
          <w:color w:val="000000"/>
          <w:sz w:val="20"/>
        </w:rPr>
        <w:t>The Company calculates its tax provision in interim periods in accordance with ASC 740, Income Taxes, using an estimated annual effective tax rate adjusted for discrete items as applicable. The Company incurred income tax expense of $0.1 million in the pre-IPO period from December 30, 2025</w:t>
      </w:r>
      <w:r>
        <w:rPr>
          <w:color w:val="000000"/>
        </w:rPr>
        <w:t xml:space="preserve"> </w:t>
      </w:r>
      <w:r>
        <w:rPr>
          <w:rFonts w:ascii="Times New Roman;serif" w:hAnsi="Times New Roman;serif"/>
          <w:b w:val="false"/>
          <w:color w:val="000000"/>
          <w:sz w:val="20"/>
        </w:rPr>
        <w:t>through May 7, 2026. For the period from May 8, 2026 through June 29, 2026, the Company recorded income tax expense of $0.5 million. The Company’s effective tax rate differs from the U.S. statutory rate primarily due to the organizational transactions in connection with the IPO and the recording of a full valuation allowance in the second quarter of fiscal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29, 2026, the Company recorded income tax provisions of $0.6 million. For the six months ended June 30, 2025, the Company recorded income tax provisions of $1.0 million. The Company’s effective tax rate differs from the U.S. statutory rate primarily due to the organizational transactions in connection with the IPO and the recording of a full valuation allowance in the second quarter of fiscal 2026. The decrease in the tax provision was primarily due to organizational transactions in connection with the IPO and the recording of a full valuation allowance in the 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use non-GAAP financial information and believe it is useful to investors as it provides additional information to facilitate comparisons of historical operating results, identify trends in our underlying operating results, and provides additional insight and transparency into how we evaluate the business. We use non-GAAP financial measures to budget, make operating and strategic decisions and evaluate our performance. We have detailed the non-GAAP adjustments that we make in our non-GAAP definitions below. We believe the non-GAAP measures should always be considered along with, and not as substitutes for, the related GAAP financial measures. These non-GAAP financial measures have limitations, including that they may be calculated differently by other companies, including companies in our industry, or may be used under different circumstances or for different purposes, thereby affecting their comparability from company to company. Our non-GAAP financial measures should not be considered in isolation or as alternatives to gross profit, income (loss) from operations, net cash provided used in operating activities or any other measure of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calculated and presented in accordance with GAAP. We have provided the reconciliations between the GAAP and non-GAAP financial measures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listed below and reflect how we evaluate our current and prior-period operating results. As new events or circumstances arise, these definitions could change. When the definitions change, we will provide the updated definitions and present the related non-GAAP historical results on a comparable basis.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EBITDA, Adjusted EBITDA, EBITDA margin and Adjusted EBITDA margin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GAAP, however, management believes evaluation of operating results may be enhanced by a presentation of EBITDA and Adjusted EBITDA, EBITDA margin and Adjusted EBITDA margin which are non-GAAP financial measures. We define EBITDA as net income (loss) as adjusted to exclude tax expense, net interest expense, and depreciation and amortization. We define Adjusted EBITDA as EBITDA further adjusted to exclude share-based compensation expense, transaction-related costs and adjustments, sponsor fees which will not recur subsequent to our initial public offering, and other non-recurring expenses.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two of the key performance indicators we use in evaluating our operating performance and in making financial, operating and planning decisions. In particular, the exclusion of certain expenses in calculating EBITDA and Adjusted EBITDA facilitates operating performance comparability across reporting periods by removing the effect of certain expenses that are non-recurring, non-cash, or expenses that are not part of the Company’s core business operations. Accordingly, we believe that these measures provide useful information to investors and others in understanding and evaluating our operating results in the same manner as our management and Board. EBITDA margin and Adjusted EBITDA margin are non-GAAP financial measures that represent EBITDA and Adjusted EBITDA divided by net sales for the applicable period, expressed as a percentage. We consider EBITDA margin and Adjusted EBITDA margin to be useful measures in highlighting trends in our business.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it is useful to exclude non-cash charges, such as depreciation and amortization, and share-based compensation because the amount of such expenses in any specific period may not directly correlate to the underlying performance of our business operations. We believe it is useful to exclude tax expense, net interest expense, sponsor management fees and non-routine items, such as transaction costs and certain other non-recurring expenses, as these items are not components of our core business operations. Moreover, EBITDA and Adjusted EBITDA are frequently used by analysts, investors and other interested parties to evaluate companies in our industry.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Segment and Adjusted EBITDA to consolidated Adjusted EBITDA:</w:t>
      </w:r>
    </w:p>
    <w:tbl>
      <w:tblPr>
        <w:tblW w:w="10216" w:type="dxa"/>
        <w:jc w:val="left"/>
        <w:tblInd w:w="0" w:type="dxa"/>
        <w:tblLayout w:type="fixed"/>
        <w:tblCellMar>
          <w:top w:w="28" w:type="dxa"/>
          <w:left w:w="28" w:type="dxa"/>
          <w:bottom w:w="28" w:type="dxa"/>
          <w:right w:w="28" w:type="dxa"/>
        </w:tblCellMar>
      </w:tblPr>
      <w:tblGrid>
        <w:gridCol w:w="304"/>
        <w:gridCol w:w="268"/>
        <w:gridCol w:w="269"/>
        <w:gridCol w:w="196"/>
        <w:gridCol w:w="661"/>
        <w:gridCol w:w="109"/>
        <w:gridCol w:w="109"/>
        <w:gridCol w:w="109"/>
        <w:gridCol w:w="109"/>
        <w:gridCol w:w="196"/>
        <w:gridCol w:w="646"/>
        <w:gridCol w:w="109"/>
        <w:gridCol w:w="109"/>
        <w:gridCol w:w="109"/>
        <w:gridCol w:w="109"/>
        <w:gridCol w:w="278"/>
        <w:gridCol w:w="278"/>
        <w:gridCol w:w="221"/>
        <w:gridCol w:w="109"/>
        <w:gridCol w:w="109"/>
        <w:gridCol w:w="109"/>
        <w:gridCol w:w="233"/>
        <w:gridCol w:w="233"/>
        <w:gridCol w:w="349"/>
        <w:gridCol w:w="109"/>
        <w:gridCol w:w="109"/>
        <w:gridCol w:w="109"/>
        <w:gridCol w:w="196"/>
        <w:gridCol w:w="661"/>
        <w:gridCol w:w="109"/>
        <w:gridCol w:w="109"/>
        <w:gridCol w:w="109"/>
        <w:gridCol w:w="109"/>
        <w:gridCol w:w="196"/>
        <w:gridCol w:w="661"/>
        <w:gridCol w:w="109"/>
        <w:gridCol w:w="109"/>
        <w:gridCol w:w="109"/>
        <w:gridCol w:w="109"/>
        <w:gridCol w:w="278"/>
        <w:gridCol w:w="278"/>
        <w:gridCol w:w="221"/>
        <w:gridCol w:w="109"/>
        <w:gridCol w:w="109"/>
        <w:gridCol w:w="109"/>
        <w:gridCol w:w="233"/>
        <w:gridCol w:w="233"/>
        <w:gridCol w:w="402"/>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Suja Core Segment 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 Segment 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Segment 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Adjusted EBITDA, and Adjusted EBITDA Margin to the most directly comparable GAAP performance measures:</w:t>
      </w:r>
    </w:p>
    <w:tbl>
      <w:tblPr>
        <w:tblW w:w="8742" w:type="dxa"/>
        <w:jc w:val="left"/>
        <w:tblInd w:w="0" w:type="dxa"/>
        <w:tblLayout w:type="fixed"/>
        <w:tblCellMar>
          <w:top w:w="28" w:type="dxa"/>
          <w:left w:w="28" w:type="dxa"/>
          <w:bottom w:w="28" w:type="dxa"/>
          <w:right w:w="28" w:type="dxa"/>
        </w:tblCellMar>
      </w:tblPr>
      <w:tblGrid>
        <w:gridCol w:w="889"/>
        <w:gridCol w:w="783"/>
        <w:gridCol w:w="787"/>
        <w:gridCol w:w="359"/>
        <w:gridCol w:w="361"/>
        <w:gridCol w:w="591"/>
        <w:gridCol w:w="140"/>
        <w:gridCol w:w="140"/>
        <w:gridCol w:w="140"/>
        <w:gridCol w:w="314"/>
        <w:gridCol w:w="316"/>
        <w:gridCol w:w="591"/>
        <w:gridCol w:w="109"/>
        <w:gridCol w:w="109"/>
        <w:gridCol w:w="109"/>
        <w:gridCol w:w="359"/>
        <w:gridCol w:w="361"/>
        <w:gridCol w:w="591"/>
        <w:gridCol w:w="123"/>
        <w:gridCol w:w="123"/>
        <w:gridCol w:w="123"/>
        <w:gridCol w:w="329"/>
        <w:gridCol w:w="332"/>
        <w:gridCol w:w="663"/>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 and Adjusted EBITDA:</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13,839 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(15,286)</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8,890</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8,164</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23,354</w:t>
            </w:r>
            <w:r>
              <w:rPr>
                <w:color w:val="000000"/>
              </w:rPr>
              <w:t> </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unit compensation</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Non-recurring costs </w:t>
            </w:r>
            <w:r>
              <w:rPr>
                <w:rFonts w:ascii="Times New Roman;serif" w:hAnsi="Times New Roman;serif"/>
                <w:b w:val="false"/>
                <w:color w:val="000000"/>
                <w:sz w:val="10"/>
              </w:rPr>
              <w:t>(1)</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Sponsor costs </w:t>
            </w:r>
            <w:r>
              <w:rPr>
                <w:rFonts w:ascii="Times New Roman;serif" w:hAnsi="Times New Roman;serif"/>
                <w:b w:val="false"/>
                <w:color w:val="000000"/>
                <w:sz w:val="10"/>
              </w:rPr>
              <w:t>(2)</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Transaction costs </w:t>
            </w:r>
            <w:r>
              <w:rPr>
                <w:rFonts w:ascii="Times New Roman;serif" w:hAnsi="Times New Roman;serif"/>
                <w:b w:val="false"/>
                <w:color w:val="000000"/>
                <w:sz w:val="10"/>
              </w:rPr>
              <w:t>(3)</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14,648</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9,764</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39,671</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24,813</w:t>
            </w:r>
            <w:r>
              <w:rPr>
                <w:color w:val="000000"/>
              </w:rPr>
              <w:t> </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Net income (loss) margin</w:t>
            </w:r>
          </w:p>
        </w:tc>
        <w:tc>
          <w:tcPr>
            <w:tcW w:w="7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EBITDA margin</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6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(1)Non-Recurring Costs - for the three and six months ended June 29, 2026 consists of one-time costs relating to corporate strategy, executive recruiting and consulting relating to the IPO. For the three and six months ended June 30, 2025, it consists of consulting fees related to one-time system improvements, transaction bonuses, and other one-time transition costs.</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(2)Sponsor Costs - Includes fees paid in cash to the Company’s sponsor which will not recur subsequent to the IPO.</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 xml:space="preserve">(3)Transaction Costs - Consists of non-recurring costs directly attributable to the Company's IPO, including IPO-related professional fees and expenses, equity-based compensation costs incurred as a result of the acceleration and modification of equity awards in connection with the IPO, one-time IPO-related transaction bonuses, roadshow and investor relation expenses, travel and logistical expenses related to IPO launch activities including NASDAQ listing events. These items are non-recurring in nature and do not reflect the Company's ongoing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are a holding company with no operations of our own, and as such, we will depend on our subsidiaries for cash to fund all of our operations and expenses. We will depend on the payment of distributions by our current and future subsidiaries. The terms of the agreements governing our indebtedness, including the first lien credit agreement, dated August 23, 2021 (as amended, the “Credit Agreement”), contain certain negative covenants prohibiting certain of our subsidiaries from making cash dividends or distributions to us or to Holdings LP unless certain financial tests are met. For a discussion of those restrictions, refer to the sections entitled “Description of Certain Indebtedness” and “Risk Factors” included in the Prospectus. We currently anticipate that such restrictions will not impact our ability to meet our cash obligations.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primary cash needs are for operating expenses, working capital and capital expenditures to support the growth of our business. Historically, we have financed our operations through sales of equity securities, the issuance of related party notes, and through sales of our products and borrowings under our term loan facilities (“Term Loan Facilities”). As of June 29, 2026, our principal source of liquidity was our cash of $20.6 million which does not include restricted cash, as well as the available balance of our revolving loan facility (“Revolving Credit Facility”). Restricted cash includes certificates of deposit with maturities of six months, which are required collateral for our credit cards.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restricted cash, our Revolving Credit Facility and cash provided by sales of our products will be sufficient to meet our working capital and capital expenditure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 offerings and the continuing market acceptance of our products.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or generate cash flows necessary to expand our operations and invest in new products, manufacturing or distribution capabilities, this could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ability to compete successfully and harm our results of operations. While we believe our existing cash and restricted cash, our Revolving Credit Facility and cash provided by sales of our products will be sufficient to meet our future working capital and capital expenditure needs, we can provide no assurance that our liquidity and capital resources will meet future funding requirements.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a result of our ownership of units in Holdings LP after the IPO, we are subject to U.S. federal, state and local income taxes with respect to our allocable share of any net taxable income of Holdings LP and will be taxed on such income at the applicable corporate tax rates. In addition to tax expenses, we will incur expenses related to our operations, including obligations to make payments under the tax receivable agreement (the “Tax Receivable Agreement”) to certain existing direct or indirect owners of Holdings LP, including PSP (such persons, collectively, the “TRA Parties”). The amounts payable, as well as the timing of any payments, under the Tax Receivable Agreement are dependent upon future events and assumptions, including the timing of unit exchanges in Holdings LP, the price of our Class A common stock at the time of each exchange, the extent to which such exchanges are taxable transactions, the amount of the exchanging Holdings LP unitholder’s tax basis in its units of Holdings LP at the time of the relevant exchange, the depreciation and amortization periods that apply to the increase in tax basis, the amount and timing of taxable income we generate in the future, the U.S. federal, state and local income tax rates then applicable and the portion of any payments under the Tax Receivable Agreement that constitute imputed interest or give rise to depreciable, depletable or amortizable tax basis; however, we estimate that such payments may be substantial. We currently anticipate funding any required payments to the TRA Parties under the Tax Receivable Agreement using cash flows generated from our operations. As a result, these payments may reduce the amount of overall cash flow that would otherwise be available to us for other purposes. Assuming no material changes in the relevant tax law and that we earn sufficient taxable income to realize all tax benefits that are subject to the Tax Receivable Agreement, and based on certain assumptions with respect to future exchanges and other items, we expect that future payments under the Tax Receivable Agreement relating to unit exchanges in Holdings LP (either in connection with the IPO or in the future) to be approximately $121.8 million and to range from approximately $0.0 million to $10.7 million per year, with estimated total payments of approximately $147.2 million. Further, assuming no material changes in the relevant tax law and that we earn sufficient taxable income to realize all tax benefits that are subject to the Tax Receivable Agreement, we expect that future payments under the Tax Receivable Agreement relating to the utilization of certain pre-IPO tax attributes acquired in the organizational transactions to be approximately $25.4 million and to range from approximately $0.0 million to $2.6 million per year. As a result, we expect that aggregate payments under the Tax Receivable Agreement over this 35-year period will range from approximately $0.0 million to $11.9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$120 million initial term loan facility (the “Initial Term Loan Facility”) and $25 million Revolving Credit Facility. On December 8, 2021, we entered into a first amendment to the Credit Agreement, providing for certain technical amendments to the Credit Agreement. On October 11, 2022, we entered into a second amendment to the Credit Agreement providing for an additional $42 million second amendment term loan facility (the “Second Amendment Term Loan Facility”). On October 31, 2024, we entered into a third amendment to the Credit Agreement, providing for an additional $112 million third amendment term loan facility (the “Third Amendment Term Loan Facility”) and a $15 million increase in the commitments in respect of the Revolving Credit Facility. On January 13, 2026, we entered into a fourth amendment to the Credit Agreement, providing for an additional $15 million fourth amendment delayed draw term loan facility (the “Fourth Amendment Delayed Draw Term Loan Facility”). The Initial Term Loan Facility had an upfront fee discount of 2.0% of the aggregate principal amount of the commitments and 2.0% of the aggregate principal amount of the Revolving Credit Facility as of the borrowing date. The Second Amendment Term Loan Facility had a fee discount of 2.0% of the aggregate principal amount of the commitments under the Second Amendment Term Loan Facility. The Third Amendment Term Loan Facility had an upfront fee discount of 1.50% of the aggregate principal amount of the commitments under the Third Amendment Term Loan Facility. The Fourth Amendment Delayed Draw Term Loan Facility had an upfront fee discount of 0.75% of the aggregate principal amount of the commitments under the Fourth Amendment Delayed Draw Term Loan Facility. All outstanding principal and accrued and unpaid interest on the Term Loan Facilities is due and payable on August 23, 2029. All outstanding principal and accrued and unpaid interest on the Revolving Credit Facility is due and payable on August 23, 2028. All obligations under the Credit Agreement are secured by first-priority security interests in substantially all of our assets and the assets of our domestic subsidiaries, subject to permitted liens and other exceptions.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repaid a portion of its outstanding borrowings under the Credit Agreement using the net proceeds from the offering. The Company repaid approximately $101.3 million of the principal balance outstanding under the Term Loan, and $40.0 million outstanding balance under the Revolving Credit Facility.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connection with these prepayments, the Company paid a contractual prepayment premium of approximately $1.0 million and accrued interest of approximately $0.4 million.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ASC 470-50, Debt—Modifications and Extinguishments, the Company recognized a loss on extinguishment of debt of approximately $2.3 million in the second quarter of fiscal 2026, which consisted of the $1.0 million prepayment premium and approximately $1.3 million in unamortized deferred financing costs. The unamortized deferred financing costs written off were those attributed to the extinguished portion of the Term Loan Facility. The repayment of the Revolving Credit Facility balance did not result in a write-off of related debt issuance costs, as the facility remains available for future borrowings.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Facilities accrue daily interest at a per annum rate equivalent to, (i) a base rate plus the applicable margin set forth below under the caption “Base Rate Loan” or (ii) an adjusted term Secured Overnight Financing Rate (“SOFR”) rate plus a term SOFR adjustment equal to 0.10%, 0.15% or 0.25%, depending on the interest period of the applicable borrowing, plus the applicable margin set forth below under the caption “Term Benchmark Loan / RFR Loan,” in each case, based upon the consolidated net leverage ratio as of the most recent date of determination. The base rate is the highest of (i) the prime rate at such time, (ii) 1/2 of 1.00% in excess of the federal funds effective rate at such time and (iii) an adjusted term SOFR rate for a term benchmark loan with a one-month interest period commencing at such time plus 1.00%.</w:t>
      </w:r>
    </w:p>
    <w:tbl>
      <w:tblPr>
        <w:tblW w:w="5299"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514"/>
        <w:gridCol w:w="514"/>
        <w:gridCol w:w="516"/>
        <w:gridCol w:w="109"/>
        <w:gridCol w:w="109"/>
        <w:gridCol w:w="109"/>
        <w:gridCol w:w="274"/>
        <w:gridCol w:w="274"/>
        <w:gridCol w:w="276"/>
        <w:gridCol w:w="109"/>
        <w:gridCol w:w="109"/>
        <w:gridCol w:w="109"/>
        <w:gridCol w:w="420"/>
        <w:gridCol w:w="420"/>
        <w:gridCol w:w="59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Net</w:t>
              <w:br/>
              <w:t>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w:t>
              <w:b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w:t>
              <w:br/>
              <w:t xml:space="preserve">Benchmark Loan </w:t>
              <w:br/>
              <w:t>/ RFR Loan</w:t>
            </w:r>
          </w:p>
        </w:tc>
      </w:tr>
      <w:tr>
        <w:trPr/>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Greater than</w:t>
              <w:br/>
              <w:t>3.50:1.00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 or equal to</w:t>
              <w:br/>
              <w:t>3.50:1.00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condensed consolidated net leverage ratio below 5.50 to 1.00 for each quarter from March 2026 through December 2026, 4.50 to 1.00 for each quarter from March 2027 through December 2027, and 3.50 to 1.00 for each quarter from March 2028 thereafter. We are in compliance with our debt covenant.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29, 2026, we had $164.9 million outstanding under the Credit Agreement.</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major components of net cash flows from and used in operating, investing and financing activities for the periods indicated:</w:t>
      </w:r>
    </w:p>
    <w:tbl>
      <w:tblPr>
        <w:tblW w:w="5793" w:type="dxa"/>
        <w:jc w:val="left"/>
        <w:tblInd w:w="0" w:type="dxa"/>
        <w:tblLayout w:type="fixed"/>
        <w:tblCellMar>
          <w:top w:w="28" w:type="dxa"/>
          <w:left w:w="28" w:type="dxa"/>
          <w:bottom w:w="28" w:type="dxa"/>
          <w:right w:w="28" w:type="dxa"/>
        </w:tblCellMar>
      </w:tblPr>
      <w:tblGrid>
        <w:gridCol w:w="1071"/>
        <w:gridCol w:w="940"/>
        <w:gridCol w:w="943"/>
        <w:gridCol w:w="109"/>
        <w:gridCol w:w="215"/>
        <w:gridCol w:w="791"/>
        <w:gridCol w:w="119"/>
        <w:gridCol w:w="109"/>
        <w:gridCol w:w="109"/>
        <w:gridCol w:w="109"/>
        <w:gridCol w:w="109"/>
        <w:gridCol w:w="233"/>
        <w:gridCol w:w="753"/>
        <w:gridCol w:w="183"/>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16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(10,430)</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(7,715)</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$(5.1) million for the six months ended June 29, 2026 compared to $(3.0) million for the six months ended June 30, 2025. Operating cash flows decreased primarily due to a decrease in net income of $(13.6) million and a $(3.3) million change in working capital. The decrease in working capital was primarily attributable to a $5.7 million increase in cash provided by inventories due to improved inventory turnover driven by increased sales volumes, partially offset by increases in cash used for accounts payable of $3.5 million and cash used in accrued expenses of $6.8 million, primarily due to the timing of vendor and operating expense payments associated with increased business activities, purchases, and accrued compensation expenses. The decrease in operating cash flows was offset by an increase in stock-based compensation of $12.9 million and an increase due to loss on debt extinguishment of $1.3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$13.9 million for the six months ended June 29, 2026 compared to $6.4 million for the six months ended June 30, 2025. The change was primarily due to an increase in purchases of property and equipment.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$8.6 million for the six months ended June 29, 2026 compared to $1.7 million for the six months ended June 30, 2025. The change was primarily due to an increase in principal payments on finance lease obligations, particularly the repayment of a portion of the outstanding Term Loan and Revolving Credit Facility using the net proceeds from the IPO.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obligations for future payments as of June 29, 2026 primarily relate to lease commitments, raw material purchase obligations, and principal debt payments. Operating and financing leases represent minimum required lease payments during the noncancelable lease term. Most real estate leases also require payment of related operating expenses such as taxes, insurance, utilities, and maintenance, which are not included in our estimated capital lease obligation. Our total estimated finance and operating lease obligations as of December 29, 2025 were $26.7 million, of which $2.6 million is payable within 12 months. Our total estimated finance and operating lease obligations as of June 29, 2026 were $28.6 million, of which $2.8 million is payable within 12 months.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party to certain legal actions arising in the ordinary course of business. We accrue for losses from a legal proceeding when it is probable that a loss has been incurred and the amount of the loss can be reasonably estimated. There are inherent uncertainties in legal proceedings that make it difficult to reasonably estimate costs and effects of resolving such matters. Accordingly, actual costs incurred may differ materially from amounts accrued, may exceed applicable insurance coverage, and could materially adversely affect our business, cash flows, results of operations, financial condition,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provide indemnification of varying scope to customers against claims of intellectual property infringement made by third parties arising from the use of our products, and from time to time we may be subject to claims by our customers under these indemnification provisions. Historically, costs related to these indemnification provisions have not been significant, but we are unable to estimate the maximum potential impact of these indemnification provisions on our future results of operations. To the extent permitted under Delaware law, we will enter into agreements whereby we indemnify our directors and officers for certain events or occurrences while the director or officer is or was serving at our request in such capacity. The indemnification period covers all pertinent events and occurrences during the director’s or officer’s lifetime. The maximum potential amount of future payments we could be required to make under these indemnification agreements is unlimited; however, we have director and officer insurance coverage that limits our exposure and enables us to recover a portion of any future amounts paid. We believe the estimated fair value of these indemnification agreements in excess of applicable insurance coverage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preparing financial statements in conformity with GAAP, management is required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used in the preparation of the financial statements include but are not limited to the following: inventory valuation, impairment of goodwill, intangible assets and long-life assets, share-based compensation, and useful lives of property, plant and equipment and intangible assets. Management believes these estimates and assumptions provide a reasonable basis for the fair presentation of the condensed consolidated financial statements. Actual results could differ from those estimates. There have been no material changes to our critical accounting policies and estimates as described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Jumpstart Our Business Startups Act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condensed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will cease to be an emerging growth company on the date that is the earliest of (i) the last day of the fiscal year in which we have total annual gross revenues of $1.235 billion or more, (ii) the last day of our fiscal year following the fifth anniversary of the date of the closing of the IPO, (iii) the date on which we have issued more than $1.0 billion in nonconvertible debt during the previous three years, or (iv) the date on which we are deemed to be a large accelerated filer under the rules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1 to the Company’s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While inflation may impact our revenue and costs of revenue,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exposure to interest rate risk is related primarily to our borrowing activities for our variable rate borrowing. As of June 29, 2026 and December 29, 2025, we had total outstanding debt of $164.9 million and $307.5 million under our Credit Agreement, respectively. Based on the amounts outstanding, a 100-basis point increase or decrease in market interest rates over a 12-month period would result in a change to interest expense of approximately $1.6 million for the six months ended June 29, 2026.</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us to concentrations of credit risk consist principally of cash, restricted cash, and accounts receivable. We place our cash with financial institutions with high credit quality. As of June 29, 2026 and December 29, 2025, we had $21.6 million and $32.0 million of cash on deposit or invested with our financial and lending institutions,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of the Securities Exchange Act of 1934, as amended (the “Exchange Act”), our management, under the supervision and with the participation of our Chief Executive Officer and Chief Financial Officer, has evaluated the effectiveness of our disclosure controls and procedures (as defined in Rules 13a-15(e) and 15d-15(e) under the Exchange Act) as of June 29, 2026. Based on that evaluation, our Chief Executive Officer and Chief Financial Officer have concluded that, as of June 29, 2026, our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three months ended June 29,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claims and legal proceedings related to claims arising out of our operations. We are not presently a party to any litigation the outcome of which, we believe, if determined adversely to us, would individually or taken together have a material adverse effect on our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Information regarding our risk factors is disclosed under the section entitled “Risk Factors” in the Prospectus, with such risk factors incorporated herein by reference. Please refer to that section for disclosures regarding the risks and uncertainties related to our business.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organizational transactions described in Note 1 of the condensed consolidated financial statements included herein and the IPO, in the second quarter of fiscal 2026, we issued 14,836,312 shares of Class V common stock and 47,619 shares of Class A common stock to the unitholders of Holdings LP. The shares of Class V common stock were issued on a one-to-one basis with the number of LP units owned by such holders, in exchange for nominal consideration. No underwriters were involved in these issuances.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issuances described above were deemed to be exempt from registration under the Securities Act in reliance upon Section 4(a)(2) of the Securities Act or Regulation D promulgated thereunder, as transactions by an issuer not involving any public offering.</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93"/>
        <w:gridCol w:w="2544"/>
        <w:gridCol w:w="36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Amended and Restated Certificate</w:t>
              </w:r>
            </w:hyperlink>
            <w:hyperlink r:id="rId3">
              <w:r>
                <w:rPr>
                  <w:rStyle w:val="InternetLink"/>
                  <w:rFonts w:ascii="Times New Roman;serif" w:hAnsi="Times New Roman;serif"/>
                  <w:b w:val="false"/>
                  <w:color w:val="000080"/>
                  <w:sz w:val="20"/>
                  <w:u w:val="single"/>
                </w:rPr>
                <w:t xml:space="preserve"> of </w:t>
              </w:r>
            </w:hyperlink>
            <w:hyperlink r:id="rId4">
              <w:r>
                <w:rPr>
                  <w:rStyle w:val="InternetLink"/>
                  <w:rFonts w:ascii="Times New Roman;serif" w:hAnsi="Times New Roman;serif"/>
                  <w:b w:val="false"/>
                  <w:color w:val="000080"/>
                  <w:sz w:val="20"/>
                  <w:u w:val="single"/>
                </w:rPr>
                <w:t>Incorporation of Suja Life, Inc. (incorporated by reference to Exhibit 3.1 to the Company’s Current Report on Form 8-K filed with the SEC on May 8, 2026) (File No. 001-43273)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 xml:space="preserve">Amended and Restated </w:t>
              </w:r>
            </w:hyperlink>
            <w:hyperlink r:id="rId6">
              <w:r>
                <w:rPr>
                  <w:rStyle w:val="InternetLink"/>
                  <w:rFonts w:ascii="Times New Roman;serif" w:hAnsi="Times New Roman;serif"/>
                  <w:b w:val="false"/>
                  <w:color w:val="000080"/>
                  <w:sz w:val="20"/>
                  <w:u w:val="single"/>
                </w:rPr>
                <w:t>Bylaws</w:t>
              </w:r>
            </w:hyperlink>
            <w:hyperlink r:id="rId7">
              <w:r>
                <w:rPr>
                  <w:rStyle w:val="InternetLink"/>
                  <w:rFonts w:ascii="Times New Roman;serif" w:hAnsi="Times New Roman;serif"/>
                  <w:b w:val="false"/>
                  <w:color w:val="000080"/>
                  <w:sz w:val="20"/>
                  <w:u w:val="single"/>
                </w:rPr>
                <w:t xml:space="preserve"> of </w:t>
              </w:r>
            </w:hyperlink>
            <w:hyperlink r:id="rId8">
              <w:r>
                <w:rPr>
                  <w:rStyle w:val="InternetLink"/>
                  <w:rFonts w:ascii="Times New Roman;serif" w:hAnsi="Times New Roman;serif"/>
                  <w:b w:val="false"/>
                  <w:color w:val="000080"/>
                  <w:sz w:val="20"/>
                  <w:u w:val="single"/>
                </w:rPr>
                <w:t xml:space="preserve">Suja Life, Inc. </w:t>
              </w:r>
            </w:hyperlink>
            <w:hyperlink r:id="rId9">
              <w:r>
                <w:rPr>
                  <w:rStyle w:val="InternetLink"/>
                  <w:rFonts w:ascii="Times New Roman;serif" w:hAnsi="Times New Roman;serif"/>
                  <w:b w:val="false"/>
                  <w:color w:val="000080"/>
                  <w:sz w:val="20"/>
                  <w:u w:val="single"/>
                </w:rPr>
                <w:t xml:space="preserve">(incorporated by reference </w:t>
              </w:r>
            </w:hyperlink>
            <w:hyperlink r:id="rId10">
              <w:r>
                <w:rPr>
                  <w:rStyle w:val="InternetLink"/>
                  <w:rFonts w:ascii="Times New Roman;serif" w:hAnsi="Times New Roman;serif"/>
                  <w:b w:val="false"/>
                  <w:color w:val="000080"/>
                  <w:sz w:val="20"/>
                  <w:u w:val="single"/>
                </w:rPr>
                <w:t xml:space="preserve">to </w:t>
              </w:r>
            </w:hyperlink>
            <w:hyperlink r:id="rId11">
              <w:r>
                <w:rPr>
                  <w:rStyle w:val="InternetLink"/>
                  <w:rFonts w:ascii="Times New Roman;serif" w:hAnsi="Times New Roman;serif"/>
                  <w:b w:val="false"/>
                  <w:color w:val="000080"/>
                  <w:sz w:val="20"/>
                  <w:u w:val="single"/>
                </w:rPr>
                <w:t>Exhibit 3.2 to the Company’s Current Report on Form 8-K filed with</w:t>
              </w:r>
            </w:hyperlink>
            <w:hyperlink r:id="rId12">
              <w:r>
                <w:rPr>
                  <w:rStyle w:val="InternetLink"/>
                  <w:rFonts w:ascii="Times New Roman;serif" w:hAnsi="Times New Roman;serif"/>
                  <w:b w:val="false"/>
                  <w:color w:val="000080"/>
                  <w:sz w:val="20"/>
                  <w:u w:val="single"/>
                </w:rPr>
                <w:t xml:space="preserve"> the </w:t>
              </w:r>
            </w:hyperlink>
            <w:hyperlink r:id="rId13">
              <w:r>
                <w:rPr>
                  <w:rStyle w:val="InternetLink"/>
                  <w:rFonts w:ascii="Times New Roman;serif" w:hAnsi="Times New Roman;serif"/>
                  <w:b w:val="false"/>
                  <w:color w:val="000080"/>
                  <w:sz w:val="20"/>
                  <w:u w:val="single"/>
                </w:rPr>
                <w:t>SEC on May 8, 2026) (File No. 001-43273)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Director Designation Agreement, dated as of May 8, 2026, by and among Suja Life, Inc. and the stockholders party thereto (incorporated by reference to Exhibit 10.1 to the Company’s Current Report on Form 8-K filed with the SEC on May 8, 2026) (File No. 001-43273)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Sixth Amended and Restated Limited Partnership Agreement of Suja Life Holdings, L.P., dated as of May 7, 2026, by and among Suja Life, Inc. and the other signatories party thereto (incorporated by reference to Exhibit 10.2 to the Company’s Current Report on Form 8-K filed with the SEC on May 8, 2026) (File No. 001-43273)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Tax Receivable Agreement, dated as of May 7, 2026, by and among Suja Life, Inc. and the other parties named therein (incorporated by reference to Exhibit 10.3 to the Company’s Current Report on Form 8-K filed with the SEC on May 8, 2026) (File No. 001-43273)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Exchange Agreement, dated as of May 7, 2026, by and among Suja Life, Inc. and the other signatories party thereto (incorporated by reference to Exhibit 10.4 to the Company’s Current Report on Form 8-K filed with the SEC on May 8, 2026) (File No. 001-43273)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Fifth Amendment to the Credit Agreement, dated as of May 8, 2026, by and among Suja Life Intermediate II, LLC, Suja Life, LLC, JPMorgan Chase Bank, N.A., as administrative agent, the guarantors party thereto from time to time and the lenders party thereto from time to time (incorporated by reference to Exhibit 10.5 to the Company’s Current Report on Form 8-K filed with the SEC on May 8, 2026) (File No. 001-43273)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Form of Director and Officer Indemnification Agreement between Suja Life, Inc. and each of its directors and executive officers (incorporated by reference to Exhibit 10.9 to the Company’s Registration Statement on Form S-1 filed with the Commission on April 10, 2026) (File No. 333-294971)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Suja Life, Inc. 2026 Omnibus Incentive Plan (incorporated by reference to Exhibit 10.7 to the Company’s Current Report on Form 8-K filed with the SEC on May 8, 2026) (File No. 001-43273)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Form of Performance-Based Restricted Stock Award Grant Notice under the Suja Life, Inc. 2026 Omnibus Plan (incorporated by reference to Exhibit 10.18 to the Company’s Registration Statement on Form S-1 filed with the Commission on April 27, 2026) (File No. 333-294971)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Form of Non-Employee Director RSU Award Grant Notice under the Suja Life, Inc. 2026 Omnibus Plan (incorporated by reference to Exhibit 10.19 to the Company’s Registration Statement on Form S-1 filed with the Commission on April 27, 2026) (File No. 333-294971)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ujalifeincnon-employeedir.htm">
              <w:r>
                <w:rPr>
                  <w:rStyle w:val="InternetLink"/>
                  <w:rFonts w:ascii="Times New Roman;serif" w:hAnsi="Times New Roman;serif"/>
                  <w:b w:val="false"/>
                  <w:color w:val="0000FF"/>
                  <w:sz w:val="20"/>
                  <w:u w:val="single"/>
                </w:rPr>
                <w:t xml:space="preserve">Suja Life, Inc. Non-Employee Director Compensation Policy </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
        <w:gridCol w:w="297"/>
        <w:gridCol w:w="298"/>
        <w:gridCol w:w="109"/>
        <w:gridCol w:w="109"/>
        <w:gridCol w:w="109"/>
        <w:gridCol w:w="2608"/>
        <w:gridCol w:w="2608"/>
        <w:gridCol w:w="3728"/>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q22026.htm">
              <w:r>
                <w:rPr>
                  <w:rStyle w:val="InternetLink"/>
                  <w:rFonts w:ascii="Times New Roman;serif" w:hAnsi="Times New Roman;serif"/>
                  <w:b w:val="false"/>
                  <w:color w:val="000080"/>
                  <w:sz w:val="20"/>
                  <w:u w:val="single"/>
                </w:rPr>
                <w:t>Certification</w:t>
              </w:r>
            </w:hyperlink>
            <w:hyperlink w:anchor="ex311ceoq22026.htm">
              <w:r>
                <w:rPr>
                  <w:rStyle w:val="InternetLink"/>
                  <w:rFonts w:ascii="Times New Roman;serif" w:hAnsi="Times New Roman;serif"/>
                  <w:b w:val="false"/>
                  <w:color w:val="000080"/>
                  <w:sz w:val="20"/>
                  <w:u w:val="single"/>
                </w:rPr>
                <w:t xml:space="preserve"> of </w:t>
              </w:r>
            </w:hyperlink>
            <w:hyperlink w:anchor="ex311ceoq22026.htm">
              <w:r>
                <w:rPr>
                  <w:rStyle w:val="InternetLink"/>
                  <w:rFonts w:ascii="Times New Roman;serif" w:hAnsi="Times New Roman;serif"/>
                  <w:b w:val="false"/>
                  <w:color w:val="000080"/>
                  <w:sz w:val="20"/>
                  <w:u w:val="single"/>
                </w:rPr>
                <w:t>Chief Executive Officer pursuant</w:t>
              </w:r>
            </w:hyperlink>
            <w:hyperlink w:anchor="ex311ceoq22026.htm">
              <w:r>
                <w:rPr>
                  <w:rStyle w:val="InternetLink"/>
                  <w:rFonts w:ascii="Times New Roman;serif" w:hAnsi="Times New Roman;serif"/>
                  <w:b w:val="false"/>
                  <w:color w:val="000080"/>
                  <w:sz w:val="20"/>
                  <w:u w:val="single"/>
                </w:rPr>
                <w:t xml:space="preserve"> to </w:t>
              </w:r>
            </w:hyperlink>
            <w:hyperlink w:anchor="ex311ceoq22026.htm">
              <w:r>
                <w:rPr>
                  <w:rStyle w:val="InternetLink"/>
                  <w:rFonts w:ascii="Times New Roman;serif" w:hAnsi="Times New Roman;serif"/>
                  <w:b w:val="false"/>
                  <w:color w:val="000080"/>
                  <w:sz w:val="20"/>
                  <w:u w:val="single"/>
                </w:rPr>
                <w:t>Section 302 of</w:t>
              </w:r>
            </w:hyperlink>
            <w:hyperlink w:anchor="ex311ceoq22026.htm">
              <w:r>
                <w:rPr>
                  <w:rStyle w:val="InternetLink"/>
                  <w:rFonts w:ascii="Times New Roman;serif" w:hAnsi="Times New Roman;serif"/>
                  <w:b w:val="false"/>
                  <w:color w:val="000080"/>
                  <w:sz w:val="20"/>
                  <w:u w:val="single"/>
                </w:rPr>
                <w:t xml:space="preserve"> the </w:t>
              </w:r>
            </w:hyperlink>
            <w:hyperlink w:anchor="ex311ceoq22026.htm">
              <w:r>
                <w:rPr>
                  <w:rStyle w:val="InternetLink"/>
                  <w:rFonts w:ascii="Times New Roman;serif" w:hAnsi="Times New Roman;serif"/>
                  <w:b w:val="false"/>
                  <w:color w:val="000080"/>
                  <w:sz w:val="20"/>
                  <w:u w:val="single"/>
                </w:rPr>
                <w:t>Sarbanes-Oxley Act</w:t>
              </w:r>
            </w:hyperlink>
            <w:hyperlink w:anchor="ex311ceoq22026.htm">
              <w:r>
                <w:rPr>
                  <w:rStyle w:val="InternetLink"/>
                  <w:rFonts w:ascii="Times New Roman;serif" w:hAnsi="Times New Roman;serif"/>
                  <w:b w:val="false"/>
                  <w:color w:val="000080"/>
                  <w:sz w:val="20"/>
                  <w:u w:val="single"/>
                </w:rPr>
                <w:t xml:space="preserve"> of </w:t>
              </w:r>
            </w:hyperlink>
            <w:hyperlink w:anchor="ex311ceoq22026.htm">
              <w:r>
                <w:rPr>
                  <w:rStyle w:val="InternetLink"/>
                  <w:rFonts w:ascii="Times New Roman;serif" w:hAnsi="Times New Roman;serif"/>
                  <w:b w:val="false"/>
                  <w:color w:val="000080"/>
                  <w:sz w:val="20"/>
                  <w:u w:val="single"/>
                </w:rPr>
                <w:t>2002</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q2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q22026.htm">
              <w:r>
                <w:rPr>
                  <w:rStyle w:val="InternetLink"/>
                  <w:rFonts w:ascii="Times New Roman;serif" w:hAnsi="Times New Roman;serif"/>
                  <w:b w:val="false"/>
                  <w:color w:val="000080"/>
                  <w:sz w:val="20"/>
                  <w:u w:val="single"/>
                </w:rPr>
                <w:t>Certification</w:t>
              </w:r>
            </w:hyperlink>
            <w:hyperlink w:anchor="ex321ceoq22026.htm">
              <w:r>
                <w:rPr>
                  <w:rStyle w:val="InternetLink"/>
                  <w:rFonts w:ascii="Times New Roman;serif" w:hAnsi="Times New Roman;serif"/>
                  <w:b w:val="false"/>
                  <w:color w:val="000080"/>
                  <w:sz w:val="20"/>
                  <w:u w:val="single"/>
                </w:rPr>
                <w:t xml:space="preserve"> of </w:t>
              </w:r>
            </w:hyperlink>
            <w:hyperlink w:anchor="ex321ceoq22026.htm">
              <w:r>
                <w:rPr>
                  <w:rStyle w:val="InternetLink"/>
                  <w:rFonts w:ascii="Times New Roman;serif" w:hAnsi="Times New Roman;serif"/>
                  <w:b w:val="false"/>
                  <w:color w:val="000080"/>
                  <w:sz w:val="20"/>
                  <w:u w:val="single"/>
                </w:rPr>
                <w:t>Chief Executive Officer pursuant to 18 U.S.C. 1350, as adopted pursuant to Section 906 of the Sarbanes-Oxley Act of 2002</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q22026.htm">
              <w:r>
                <w:rPr>
                  <w:rStyle w:val="InternetLink"/>
                  <w:rFonts w:ascii="Times New Roman;serif" w:hAnsi="Times New Roman;serif"/>
                  <w:b w:val="false"/>
                  <w:color w:val="000080"/>
                  <w:sz w:val="20"/>
                  <w:u w:val="single"/>
                </w:rPr>
                <w:t>Certification of Chief Financial Officer pursuant to 18 U.S.C. 1350</w:t>
              </w:r>
            </w:hyperlink>
            <w:hyperlink w:anchor="ex322cfoq22026.htm">
              <w:r>
                <w:rPr>
                  <w:rStyle w:val="InternetLink"/>
                  <w:rFonts w:ascii="Times New Roman;serif" w:hAnsi="Times New Roman;serif"/>
                  <w:b w:val="false"/>
                  <w:color w:val="000080"/>
                  <w:sz w:val="20"/>
                  <w:u w:val="single"/>
                </w:rPr>
                <w:t xml:space="preserve">, </w:t>
              </w:r>
            </w:hyperlink>
            <w:hyperlink w:anchor="ex322cfoq22026.htm">
              <w:r>
                <w:rPr>
                  <w:rStyle w:val="InternetLink"/>
                  <w:rFonts w:ascii="Times New Roman;serif" w:hAnsi="Times New Roman;serif"/>
                  <w:b w:val="false"/>
                  <w:color w:val="000080"/>
                  <w:sz w:val="20"/>
                  <w:u w:val="single"/>
                </w:rPr>
                <w:t xml:space="preserve">as </w:t>
              </w:r>
            </w:hyperlink>
            <w:hyperlink w:anchor="ex322cfoq22026.htm">
              <w:r>
                <w:rPr>
                  <w:rStyle w:val="InternetLink"/>
                  <w:rFonts w:ascii="Times New Roman;serif" w:hAnsi="Times New Roman;serif"/>
                  <w:b w:val="false"/>
                  <w:color w:val="000080"/>
                  <w:sz w:val="20"/>
                  <w:u w:val="single"/>
                </w:rPr>
                <w:t>adopted pursuant to Section 906 of</w:t>
              </w:r>
            </w:hyperlink>
            <w:hyperlink w:anchor="ex322cfoq22026.htm">
              <w:r>
                <w:rPr>
                  <w:rStyle w:val="InternetLink"/>
                  <w:rFonts w:ascii="Times New Roman;serif" w:hAnsi="Times New Roman;serif"/>
                  <w:b w:val="false"/>
                  <w:color w:val="000080"/>
                  <w:sz w:val="20"/>
                  <w:u w:val="single"/>
                </w:rPr>
                <w:t xml:space="preserve"> the </w:t>
              </w:r>
            </w:hyperlink>
            <w:hyperlink w:anchor="ex322cfoq22026.htm">
              <w:r>
                <w:rPr>
                  <w:rStyle w:val="InternetLink"/>
                  <w:rFonts w:ascii="Times New Roman;serif" w:hAnsi="Times New Roman;serif"/>
                  <w:b w:val="false"/>
                  <w:color w:val="000080"/>
                  <w:sz w:val="20"/>
                  <w:u w:val="single"/>
                </w:rPr>
                <w:t>Sarbanes-Oxley Act of 2002</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Instance Document</w:t>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Schema Document</w:t>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Calculation Linkbase Document</w:t>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Definition Linkbase Document</w:t>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Labels Linkbase Document</w:t>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Presentation Linkbase Document</w:t>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Cover Page Interactive Data File (embedded within the Inline XBRL document)</w:t>
            </w:r>
          </w:p>
        </w:tc>
      </w:tr>
    </w:tbl>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_______________</w:t>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Filed herewith</w:t>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Exhibit is furnished and shall not be deemed “filed” for purposes of Section 18 of the Exchange Act, or otherwise subject to the liabilities of that section, nor shall it be deemed incorporated by reference in any filing under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60"/>
        <w:jc w:val="left"/>
        <w:rPr/>
      </w:pPr>
      <w:r>
        <w:rPr/>
      </w:r>
    </w:p>
    <w:tbl>
      <w:tblPr>
        <w:tblW w:w="7829" w:type="dxa"/>
        <w:jc w:val="left"/>
        <w:tblInd w:w="0" w:type="dxa"/>
        <w:tblLayout w:type="fixed"/>
        <w:tblCellMar>
          <w:top w:w="28" w:type="dxa"/>
          <w:left w:w="28" w:type="dxa"/>
          <w:bottom w:w="28" w:type="dxa"/>
          <w:right w:w="28" w:type="dxa"/>
        </w:tblCellMar>
      </w:tblPr>
      <w:tblGrid>
        <w:gridCol w:w="667"/>
        <w:gridCol w:w="587"/>
        <w:gridCol w:w="590"/>
        <w:gridCol w:w="205"/>
        <w:gridCol w:w="205"/>
        <w:gridCol w:w="205"/>
        <w:gridCol w:w="1571"/>
        <w:gridCol w:w="1571"/>
        <w:gridCol w:w="22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Suja Life,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Jeff Pedersen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Officer,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SUJA LIFE, INC.</w:t>
        <w:br/>
        <w:t>NON-EMPLOYEE DIRECTOR COMPENSATION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Non-Employee Director Compensation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of Suja Life,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as adopted by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effective as of May 6,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sets forth the compensation payable to each member of the Board who is not an employee of the Company or any of its subsidiaries (each, a “</w:t>
      </w:r>
      <w:r>
        <w:rPr>
          <w:rFonts w:ascii="Times New Roman;serif" w:hAnsi="Times New Roman;serif"/>
          <w:b w:val="false"/>
          <w:color w:val="000000"/>
          <w:sz w:val="24"/>
          <w:u w:val="single"/>
        </w:rPr>
        <w:t>Non-Employee Director</w:t>
      </w:r>
      <w:r>
        <w:rPr>
          <w:color w:val="000000"/>
        </w:rPr>
        <w:t>”</w:t>
      </w:r>
      <w:r>
        <w:rPr>
          <w:rFonts w:ascii="Times New Roman;serif" w:hAnsi="Times New Roman;serif"/>
          <w:b w:val="false"/>
          <w:color w:val="000000"/>
          <w:sz w:val="24"/>
        </w:rPr>
        <w:t xml:space="preserve">) as consideration solely for service on the Board. For the avoidance of doubt, nothing in this Policy will prohibit the Company from compensating any Non-Employee Director for services provided to the Company outside of such Non-Employee Director’s service on the Board. This Policy shall become effective on the Effective Date and shall remain in effect until it is revised or rescinded by the Board in its sole discretion at any time and from time to time. </w:t>
      </w:r>
    </w:p>
    <w:p>
      <w:pPr>
        <w:pStyle w:val="TextBody"/>
        <w:bidi w:val="0"/>
        <w:spacing w:lineRule="auto" w:line="288" w:before="120" w:after="120"/>
        <w:ind w:left="0" w:right="0" w:firstLine="720"/>
        <w:jc w:val="both"/>
        <w:rPr/>
      </w:pPr>
      <w:r>
        <w:rPr>
          <w:rFonts w:ascii="Times New Roman;serif" w:hAnsi="Times New Roman;serif"/>
          <w:b w:val="false"/>
          <w:color w:val="010000"/>
          <w:sz w:val="24"/>
        </w:rPr>
        <w:t>1.</w:t>
      </w:r>
      <w:r>
        <w:rPr>
          <w:rFonts w:ascii="Times New Roman;serif" w:hAnsi="Times New Roman;serif"/>
          <w:b/>
          <w:color w:val="000000"/>
          <w:sz w:val="24"/>
          <w:u w:val="single"/>
        </w:rPr>
        <w:t>General</w:t>
      </w:r>
      <w:r>
        <w:rPr>
          <w:rFonts w:ascii="Times New Roman;serif" w:hAnsi="Times New Roman;serif"/>
          <w:b w:val="false"/>
          <w:color w:val="000000"/>
          <w:sz w:val="24"/>
        </w:rPr>
        <w:t xml:space="preserve">. This Policy shall be followed in connection with all compensation paid by the Company to Non-Employee Directors. Any member of the Board who is not a Non-Employee Director shall not be entitled to cash, equity or any other compensation pursuant to this Policy.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w:t>
      </w:r>
    </w:p>
    <w:p>
      <w:pPr>
        <w:pStyle w:val="TextBody"/>
        <w:bidi w:val="0"/>
        <w:spacing w:lineRule="auto" w:line="288" w:before="120" w:after="120"/>
        <w:ind w:left="0" w:right="0" w:hanging="144"/>
        <w:jc w:val="both"/>
        <w:rPr/>
      </w:pPr>
      <w:r>
        <w:rPr>
          <w:rFonts w:ascii="Times New Roman;serif" w:hAnsi="Times New Roman;serif"/>
          <w:b w:val="false"/>
          <w:color w:val="010000"/>
          <w:sz w:val="24"/>
        </w:rPr>
        <w:t>2.</w:t>
      </w:r>
      <w:r>
        <w:rPr>
          <w:rFonts w:ascii="Times New Roman;serif" w:hAnsi="Times New Roman;serif"/>
          <w:b/>
          <w:color w:val="000000"/>
          <w:sz w:val="24"/>
          <w:u w:val="single"/>
        </w:rPr>
        <w:t>Cash Compensation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i/>
          <w:color w:val="000000"/>
          <w:sz w:val="24"/>
        </w:rPr>
        <w:t xml:space="preserve">Annual Retainer. </w:t>
      </w:r>
      <w:r>
        <w:rPr>
          <w:rFonts w:ascii="Times New Roman;serif" w:hAnsi="Times New Roman;serif"/>
          <w:b w:val="false"/>
          <w:color w:val="000000"/>
          <w:sz w:val="24"/>
        </w:rPr>
        <w:t>Each Non-Employee Director serving as a member of the Board shall receive an annual cash retainer of $75,000 for service on the Board (the “</w:t>
      </w:r>
      <w:r>
        <w:rPr>
          <w:rFonts w:ascii="Times New Roman;serif" w:hAnsi="Times New Roman;serif"/>
          <w:b w:val="false"/>
          <w:color w:val="000000"/>
          <w:sz w:val="24"/>
          <w:u w:val="single"/>
        </w:rPr>
        <w:t>Annual Retainer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i/>
          <w:color w:val="000000"/>
          <w:sz w:val="24"/>
        </w:rPr>
        <w:t>Payment Schedule and Prorated Compensation for the Annual Retainers</w:t>
      </w:r>
      <w:r>
        <w:rPr>
          <w:rFonts w:ascii="Times New Roman;serif" w:hAnsi="Times New Roman;serif"/>
          <w:b w:val="false"/>
          <w:color w:val="000000"/>
          <w:sz w:val="24"/>
        </w:rPr>
        <w:t xml:space="preserve">. The Annual Retainer for each Non-Employee Director shall be paid by the Company in quarterly installments in arrears within 60 days following the completion of each quarter. Such amounts shall be paid in the calendar quarter immediately following the quarter to which such amount relates. If a Non-Employee Director does not serve as a Non-Employee Director for an entire calendar quarter, such Non-Employee Director shall receive a prorated portion of the Annual Retainer otherwise payable to such Non-Employee Director for such calendar quarter pursuant to </w:t>
      </w:r>
      <w:r>
        <w:rPr>
          <w:rFonts w:ascii="Times New Roman;serif" w:hAnsi="Times New Roman;serif"/>
          <w:b w:val="false"/>
          <w:color w:val="000000"/>
          <w:sz w:val="24"/>
          <w:u w:val="single"/>
        </w:rPr>
        <w:t>Section 2(a)</w:t>
      </w:r>
      <w:r>
        <w:rPr>
          <w:rFonts w:ascii="Times New Roman;serif" w:hAnsi="Times New Roman;serif"/>
          <w:b w:val="false"/>
          <w:color w:val="000000"/>
          <w:sz w:val="24"/>
        </w:rPr>
        <w:t>, with such prorated portion determined by multiplying such otherwise payable Annual Retainer by a fraction, the numerator of which is the number of days during which the Non-Employee Director serves as a Non-Employee Director during the applicable calendar quarter and the denominator of which is the number of days in the applicable calendar quarter.</w:t>
      </w:r>
    </w:p>
    <w:p>
      <w:pPr>
        <w:pStyle w:val="TextBody"/>
        <w:bidi w:val="0"/>
        <w:spacing w:lineRule="auto" w:line="288" w:before="120" w:after="120"/>
        <w:ind w:left="0" w:right="0" w:firstLine="720"/>
        <w:jc w:val="both"/>
        <w:rPr/>
      </w:pPr>
      <w:r>
        <w:rPr>
          <w:rFonts w:ascii="Times New Roman;serif" w:hAnsi="Times New Roman;serif"/>
          <w:b w:val="false"/>
          <w:color w:val="010000"/>
          <w:sz w:val="24"/>
        </w:rPr>
        <w:t>3.</w:t>
      </w:r>
      <w:r>
        <w:rPr>
          <w:rFonts w:ascii="Times New Roman;serif" w:hAnsi="Times New Roman;serif"/>
          <w:b/>
          <w:color w:val="000000"/>
          <w:sz w:val="24"/>
          <w:u w:val="single"/>
        </w:rPr>
        <w:t>Equity Compensation</w:t>
      </w:r>
      <w:r>
        <w:rPr>
          <w:rFonts w:ascii="Times New Roman;serif" w:hAnsi="Times New Roman;serif"/>
          <w:b w:val="false"/>
          <w:color w:val="000000"/>
          <w:sz w:val="24"/>
        </w:rPr>
        <w:t>. Non-Employee Directors shall be granted the equity awards described below, subject to the Board’s approval. The awards described below shall be granted under and shall be subject to the terms and provisions of the Suja Life, Inc. 2026 Omnibus Incentive Plan or any other applicable Company equity incentive plan then-maintained by the Company (such plan, as may be amended from time to time, the “</w:t>
      </w:r>
      <w:r>
        <w:rPr>
          <w:rFonts w:ascii="Times New Roman;serif" w:hAnsi="Times New Roman;serif"/>
          <w:b w:val="false"/>
          <w:color w:val="000000"/>
          <w:sz w:val="24"/>
          <w:u w:val="single"/>
        </w:rPr>
        <w:t>Equity Plan</w:t>
      </w:r>
      <w:r>
        <w:rPr>
          <w:color w:val="000000"/>
        </w:rPr>
        <w:t>”</w:t>
      </w:r>
      <w:r>
        <w:rPr>
          <w:rFonts w:ascii="Times New Roman;serif" w:hAnsi="Times New Roman;serif"/>
          <w:b w:val="false"/>
          <w:color w:val="000000"/>
          <w:sz w:val="24"/>
        </w:rPr>
        <w:t xml:space="preserve">) and shall be granted subject to award agreements in substantially the forms approved by the Board. All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1685"/>
                <wp:effectExtent l="0" t="0" r="0" b="0"/>
                <wp:wrapNone/>
                <wp:docPr id="48" name="Frame48"/>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60" w:after="283"/>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60" w:after="283"/>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applicable terms of the Equity Plan apply to this Policy as if fully set forth herein, and all equity grants hereunder are subject in all respects to the terms of the Equity Plan and applicable award agreements.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i/>
          <w:color w:val="000000"/>
          <w:sz w:val="24"/>
        </w:rPr>
        <w:t>Annual Equity Award</w:t>
      </w:r>
      <w:r>
        <w:rPr>
          <w:rFonts w:ascii="Times New Roman;serif" w:hAnsi="Times New Roman;serif"/>
          <w:b w:val="false"/>
          <w:color w:val="000000"/>
          <w:sz w:val="24"/>
        </w:rPr>
        <w:t>. Each Non-Employee Director who (i) serves on the Board as of the date of any annual meeting of the Company’s stockholders (an “</w:t>
      </w:r>
      <w:r>
        <w:rPr>
          <w:rFonts w:ascii="Times New Roman;serif" w:hAnsi="Times New Roman;serif"/>
          <w:b w:val="false"/>
          <w:color w:val="000000"/>
          <w:sz w:val="24"/>
          <w:u w:val="single"/>
        </w:rPr>
        <w:t>Annual Meeting</w:t>
      </w:r>
      <w:r>
        <w:rPr>
          <w:color w:val="000000"/>
        </w:rPr>
        <w:t>”</w:t>
      </w:r>
      <w:r>
        <w:rPr>
          <w:rFonts w:ascii="Times New Roman;serif" w:hAnsi="Times New Roman;serif"/>
          <w:b w:val="false"/>
          <w:color w:val="000000"/>
          <w:sz w:val="24"/>
        </w:rPr>
        <w:t>) and (ii) will continue to serve as a Non-Employee Director immediately following such Annual Meeting shall be granted, subject to the Board’s approval, on the date of such Annual Meeting, an annual award of restricted stock units with respect to shares of the Company’s common stock pursuant to the Equity Plan with a grant date value equal to approximately $100,000 (the “</w:t>
      </w:r>
      <w:r>
        <w:rPr>
          <w:rFonts w:ascii="Times New Roman;serif" w:hAnsi="Times New Roman;serif"/>
          <w:b w:val="false"/>
          <w:color w:val="000000"/>
          <w:sz w:val="24"/>
          <w:u w:val="single"/>
        </w:rPr>
        <w:t>Annual Equity Award</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350"/>
        <w:jc w:val="both"/>
        <w:rPr/>
      </w:pPr>
      <w:r>
        <w:rPr>
          <w:rFonts w:ascii="Times New Roman;serif" w:hAnsi="Times New Roman;serif"/>
          <w:b w:val="false"/>
          <w:color w:val="010000"/>
          <w:sz w:val="24"/>
        </w:rPr>
        <w:t>(b)</w:t>
      </w:r>
      <w:r>
        <w:rPr>
          <w:rFonts w:ascii="Times New Roman;serif" w:hAnsi="Times New Roman;serif"/>
          <w:b w:val="false"/>
          <w:i/>
          <w:color w:val="000000"/>
          <w:sz w:val="24"/>
        </w:rPr>
        <w:t xml:space="preserve">Non-Executive Chair Equity Award. </w:t>
      </w:r>
      <w:r>
        <w:rPr>
          <w:rFonts w:ascii="Times New Roman;serif" w:hAnsi="Times New Roman;serif"/>
          <w:b w:val="false"/>
          <w:color w:val="000000"/>
          <w:sz w:val="24"/>
        </w:rPr>
        <w:t xml:space="preserve">A Non-Employee Director who (i) serves as the non-executive chair of the Board and (ii) will continue to serve as the non-executive chair of the Board immediately following the Annual Meeting shall be granted, subject to the Board’s approval, on the date of such Annual Meeting, an additional award of restricted stock units with respect to shares of the Company’s common stock pursuant to the Equity Plan with a grant date value equal to approximately $50,000. </w: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i/>
          <w:color w:val="000000"/>
          <w:sz w:val="24"/>
        </w:rPr>
        <w:t xml:space="preserve">Committee Chair Equity Award. </w:t>
      </w:r>
      <w:r>
        <w:rPr>
          <w:rFonts w:ascii="Times New Roman;serif" w:hAnsi="Times New Roman;serif"/>
          <w:b w:val="false"/>
          <w:color w:val="000000"/>
          <w:sz w:val="24"/>
        </w:rPr>
        <w:t>A Non-Employee Director who serves as a committee chair of the Board and will continue to serve as a committee chair of the Board immediately following the Annual Meeting shall be granted, subject to the Board’s approval, on the date of such Annual Meeting, an additional award of restricted stock units with respect to shares of the Company’s common stock pursuant to the Equity Plan with a grant date value equal to approximately $50,000.</w:t>
      </w:r>
    </w:p>
    <w:p>
      <w:pPr>
        <w:pStyle w:val="TextBody"/>
        <w:bidi w:val="0"/>
        <w:spacing w:lineRule="auto" w:line="288"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i/>
          <w:color w:val="000000"/>
          <w:sz w:val="24"/>
        </w:rPr>
        <w:t xml:space="preserve">New Directors. </w:t>
      </w:r>
      <w:r>
        <w:rPr>
          <w:rFonts w:ascii="Times New Roman;serif" w:hAnsi="Times New Roman;serif"/>
          <w:b w:val="false"/>
          <w:color w:val="000000"/>
          <w:sz w:val="24"/>
        </w:rPr>
        <w:t>If a new Non-Employee Director is elected or appointed to the Board, such Non-Employee Director shall be eligible to receive an Annual Equity Award for the year of election or appointment, as applicable, prorated based on the number of months of service. In addition, the Compensation Committee of the Board or the Board shall determine, in its sole discretion, such Non-Employee Director’s eligibility to receive an additional equity or equity-based award under the Equity Plan in connection with such election or appointment, the amount of any such equity or equity-based award and the terms and conditions of any such equity or equity-based award.</w:t>
      </w:r>
    </w:p>
    <w:p>
      <w:pPr>
        <w:pStyle w:val="TextBody"/>
        <w:bidi w:val="0"/>
        <w:spacing w:lineRule="auto" w:line="288"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i/>
          <w:color w:val="000000"/>
          <w:sz w:val="24"/>
        </w:rPr>
        <w:t>Additional Terms of Awards</w:t>
      </w:r>
      <w:r>
        <w:rPr>
          <w:rFonts w:ascii="Times New Roman;serif" w:hAnsi="Times New Roman;serif"/>
          <w:b w:val="false"/>
          <w:color w:val="000000"/>
          <w:sz w:val="24"/>
        </w:rPr>
        <w:t>. Each award will be granted under and subject to the terms and conditions of the Equity Plan and the applicable form of award agreement (if any) previously approved by the Board. The Board may change or otherwise revise the terms of awards to be granted in the future pursuant to this Policy in its discretion.</w:t>
      </w:r>
    </w:p>
    <w:p>
      <w:pPr>
        <w:pStyle w:val="TextBody"/>
        <w:bidi w:val="0"/>
        <w:spacing w:lineRule="auto" w:line="288" w:before="120" w:after="120"/>
        <w:ind w:left="0" w:right="0" w:firstLine="720"/>
        <w:jc w:val="both"/>
        <w:rPr/>
      </w:pPr>
      <w:r>
        <w:rPr>
          <w:rFonts w:ascii="Times New Roman;serif" w:hAnsi="Times New Roman;serif"/>
          <w:b w:val="false"/>
          <w:color w:val="010000"/>
          <w:sz w:val="24"/>
        </w:rPr>
        <w:t>4.</w:t>
      </w:r>
      <w:r>
        <w:rPr>
          <w:rFonts w:ascii="Times New Roman;serif" w:hAnsi="Times New Roman;serif"/>
          <w:b/>
          <w:color w:val="000000"/>
          <w:sz w:val="24"/>
          <w:u w:val="single"/>
        </w:rPr>
        <w:t>Expense Reimbursement</w:t>
      </w:r>
      <w:r>
        <w:rPr>
          <w:rFonts w:ascii="Times New Roman;serif" w:hAnsi="Times New Roman;serif"/>
          <w:b w:val="false"/>
          <w:color w:val="000000"/>
          <w:sz w:val="24"/>
        </w:rPr>
        <w:t>. All Non-Employee Directors will be eligible to be reimbursed for reasonable out-of-pocket expenses incurred to attend meetings of the Board or committees thereof or otherwise performing duties consistent with service on the Board in accordance with the Company’s expense reimbursement policy, subject to the provision by the applicable Non-Employee Director of documentation evidencing such expenses in a form reasonably satisfactory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23545"/>
                <wp:effectExtent l="0" t="0" r="0" b="0"/>
                <wp:wrapNone/>
                <wp:docPr id="49" name="Frame49"/>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erif" w:hAnsi="Times New Roman;serif"/>
          <w:b w:val="false"/>
          <w:color w:val="010000"/>
          <w:sz w:val="24"/>
        </w:rPr>
        <w:t>5.</w:t>
      </w:r>
      <w:r>
        <w:rPr>
          <w:rFonts w:ascii="Times New Roman;serif" w:hAnsi="Times New Roman;serif"/>
          <w:b/>
          <w:color w:val="000000"/>
          <w:sz w:val="24"/>
          <w:u w:val="single"/>
        </w:rPr>
        <w:t>Section 409A</w:t>
      </w:r>
      <w:r>
        <w:rPr>
          <w:rFonts w:ascii="Times New Roman;serif" w:hAnsi="Times New Roman;serif"/>
          <w:b w:val="false"/>
          <w:color w:val="000000"/>
          <w:sz w:val="24"/>
        </w:rPr>
        <w:t>. In no event will cash compensation or expense reimbursement payments under this Policy be paid after the later of (a) the 15th day of the third month following the end of the Company’s taxable year in which the compensation is earned or expenses are incurred, as applicable, or (b) the 15th day of the third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affiliates have any responsibility, liability, or obligation to reimburse, indemnify, or hold harmless a Non-Employee Director (or any other person) for any taxes imposed, or other costs incurred, as a result of Section 409A.</w:t>
      </w:r>
    </w:p>
    <w:p>
      <w:pPr>
        <w:pStyle w:val="TextBody"/>
        <w:bidi w:val="0"/>
        <w:spacing w:before="12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23545"/>
                <wp:effectExtent l="0" t="0" r="0" b="0"/>
                <wp:wrapNone/>
                <wp:docPr id="50" name="Frame5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RULE 13a-14(a) or RULE 15d-14(a) UNDER</w:t>
        <w:br/>
        <w:t>THE SECURITIES EXCHANGE ACT OF 1934</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w:t>
        <w:br/>
        <w:t>ACT OF 2002</w:t>
      </w:r>
    </w:p>
    <w:p>
      <w:pPr>
        <w:pStyle w:val="TextBody"/>
        <w:bidi w:val="0"/>
        <w:spacing w:lineRule="auto" w:line="288" w:before="0" w:after="200"/>
        <w:jc w:val="both"/>
        <w:rPr/>
      </w:pPr>
      <w:r>
        <w:rPr>
          <w:rFonts w:ascii="Times New Roman;serif" w:hAnsi="Times New Roman;serif"/>
          <w:b w:val="false"/>
          <w:color w:val="000000"/>
          <w:sz w:val="24"/>
        </w:rPr>
        <w:t>I,</w:t>
      </w:r>
      <w:r>
        <w:rPr>
          <w:rFonts w:ascii="Times New Roman;serif" w:hAnsi="Times New Roman;serif"/>
          <w:b w:val="false"/>
          <w:color w:val="000000"/>
          <w:sz w:val="24"/>
        </w:rPr>
        <w:t>Maria Stipp, certify that: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1.I have reviewed this Quarterly Report on Form 10-Q of Suja Life, Inc.;</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(b)Omitted;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Maria Stipp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Maria Stipp</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RULE 13a-14(a) or RULE 15d-14(a) UNDER</w:t>
        <w:br/>
        <w:t>THE SECURITIES EXCHANGE ACT OF 1934</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w:t>
        <w:br/>
        <w:t>ACT OF 2002</w:t>
      </w:r>
    </w:p>
    <w:p>
      <w:pPr>
        <w:pStyle w:val="TextBody"/>
        <w:bidi w:val="0"/>
        <w:spacing w:lineRule="auto" w:line="288" w:before="0" w:after="200"/>
        <w:jc w:val="both"/>
        <w:rPr/>
      </w:pPr>
      <w:r>
        <w:rPr>
          <w:rFonts w:ascii="Times New Roman;serif" w:hAnsi="Times New Roman;serif"/>
          <w:b w:val="false"/>
          <w:color w:val="000000"/>
          <w:sz w:val="24"/>
        </w:rPr>
        <w:t>I,</w:t>
      </w:r>
      <w:r>
        <w:rPr>
          <w:rFonts w:ascii="Times New Roman;serif" w:hAnsi="Times New Roman;serif"/>
          <w:b w:val="false"/>
          <w:color w:val="000000"/>
          <w:sz w:val="24"/>
        </w:rPr>
        <w:t>Jeff Pedersen, certify that: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1.I have reviewed this Quarterly Report on Form 10-Q of Suja Life, Inc.;</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(b)Omitted;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Jeff Pedersen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Jeff Pedersen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br/>
        <w:t>AS ADOPTED PURSUANT TO SECTION 906 OF THE SARBANES-OXLEY ACT OF</w:t>
        <w:br/>
        <w:t>2002</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on Form 10-Q for the quarter ended June 29, 2026 of Suja Life, Inc., as filed with the Securities and Exchange Commission on the date hereof, the undersigned certifies that: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1.This periodic report fully complies with the requirements of Section 13(a) or 15(d) of the Securities Exchange Act of 1934; and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information contained in this periodic report fairly presents, in all material respects, the financial condition and results of operations of the registrant.</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Maria Stipp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Maria Stipp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340"/>
        <w:ind w:left="0" w:right="0" w:firstLine="7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br/>
        <w:t>AS ADOPTED PURSUANT TO SECTION 906 OF THE SARBANES-OXLEY ACT OF</w:t>
        <w:br/>
        <w:t>2002</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on Form 10-Q for the quarter ended June 29, 2026 of Suja Life, Inc., as filed with the Securities and Exchange Commission on the date hereof, the undersigned certifies that:</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1.This periodic report fully complies with the requirements of Section 13(a) or 15(d) of the Securities Exchange Act of 1934; and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information contained in this periodic report fairly presents, in all material respects, the financial condition and results of operations of the registrant.</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Jeff Pedersen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Jeff Pedersen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4114/000110465926057915/tm2530822d27_ex3-1.htm" TargetMode="External"/><Relationship Id="rId3" Type="http://schemas.openxmlformats.org/officeDocument/2006/relationships/hyperlink" Target="https://www.sec.gov/Archives/edgar/data/1934114/000110465926057915/tm2530822d27_ex3-1.htm" TargetMode="External"/><Relationship Id="rId4" Type="http://schemas.openxmlformats.org/officeDocument/2006/relationships/hyperlink" Target="https://www.sec.gov/Archives/edgar/data/1934114/000110465926057915/tm2530822d27_ex3-1.htm" TargetMode="External"/><Relationship Id="rId5" Type="http://schemas.openxmlformats.org/officeDocument/2006/relationships/hyperlink" Target="https://www.sec.gov/Archives/edgar/data/1934114/000110465926057915/tm2530822d27_ex3-2.htm" TargetMode="External"/><Relationship Id="rId6" Type="http://schemas.openxmlformats.org/officeDocument/2006/relationships/hyperlink" Target="https://www.sec.gov/Archives/edgar/data/1934114/000110465926057915/tm2530822d27_ex3-2.htm" TargetMode="External"/><Relationship Id="rId7" Type="http://schemas.openxmlformats.org/officeDocument/2006/relationships/hyperlink" Target="https://www.sec.gov/Archives/edgar/data/1934114/000110465926057915/tm2530822d27_ex3-2.htm" TargetMode="External"/><Relationship Id="rId8" Type="http://schemas.openxmlformats.org/officeDocument/2006/relationships/hyperlink" Target="https://www.sec.gov/Archives/edgar/data/1934114/000110465926057915/tm2530822d27_ex3-2.htm" TargetMode="External"/><Relationship Id="rId9" Type="http://schemas.openxmlformats.org/officeDocument/2006/relationships/hyperlink" Target="https://www.sec.gov/Archives/edgar/data/1934114/000110465926057915/tm2530822d27_ex3-2.htm" TargetMode="External"/><Relationship Id="rId10" Type="http://schemas.openxmlformats.org/officeDocument/2006/relationships/hyperlink" Target="https://www.sec.gov/Archives/edgar/data/1934114/000110465926057915/tm2530822d27_ex3-2.htm" TargetMode="External"/><Relationship Id="rId11" Type="http://schemas.openxmlformats.org/officeDocument/2006/relationships/hyperlink" Target="https://www.sec.gov/Archives/edgar/data/1934114/000110465926057915/tm2530822d27_ex3-2.htm" TargetMode="External"/><Relationship Id="rId12" Type="http://schemas.openxmlformats.org/officeDocument/2006/relationships/hyperlink" Target="https://www.sec.gov/Archives/edgar/data/1934114/000110465926057915/tm2530822d27_ex3-2.htm" TargetMode="External"/><Relationship Id="rId13" Type="http://schemas.openxmlformats.org/officeDocument/2006/relationships/hyperlink" Target="https://www.sec.gov/Archives/edgar/data/1934114/000110465926057915/tm2530822d27_ex3-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27699</Words>
  <Characters>150981</Characters>
  <CharactersWithSpaces>176796</CharactersWithSpaces>
  <Paragraphs>3135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