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528581.xml.htm"/>
      <w:bookmarkStart w:id="1" w:name="kswkform3_179252858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Engel Robert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SUJA LIFE,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3831 OCEAN RANCH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OCEANSIDE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10/16/2026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Aneta Ferguson,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robertengel-section16poa.htm"/>
      <w:bookmarkStart w:id="3" w:name="ksrobertengelsection16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KNOW ALL BY THESE PRESENTS, that the undersigned hereby makes, constitutes and appoints Aneta Ferguson as the undersigned’s true and lawful attorney-in-fact to: (1) execute for and on behalf of the undersigned, in the undersigned’s capacity as an officer, director or both, or as a stockholder of Suja Life, Inc., a Delaware corporation, or any successor thereto (the “Company”), (i) any Schedule 13D or Schedule 13G (and any amendments and exhibits thereto, including any joint filing agreements) required to be filed by the undersigned under Section 13 of the Securities Exchange Act of 1934, as amended, and the rules promulgated thereunder (the “Exchange Act”); (ii) Forms 3, 4 and 5 (and any amendments thereto) in accordance with Section 16(a) of the Exchange Act; and (iii) any Notice of Proposed Sale of Securities on Form 144 (and any amendments thereto) in accordance with Rule 144 under the Securities Act of 1933, as amended (the “Securities Act”); (2) do and perform any and all acts for and on behalf of the undersigned which may be necessary or desirable to complete and execute any such Schedule 13D or Schedule 13G, Form 3, 4 or 5 or Form 144, complete and execute any amendments thereto, and timely file such forms with the U.S. Securities and Exchange Commission (the “SEC”) and any securities exchange or similar authority, including without limitation the filing of a Form ID or any other documents necessary or appropriate to enable the undersigned to file the Schedule 13D or Schedule 13G, Forms 3, 4 and 5 and Form 144 electronically with the SEC;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 (4) 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 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13 or Section 16 of the Exchange Act or any provision of Rule 144 under the Exchange Act. This Limited Power of Attorney shall remain in full force and effect until the undersigned is no longer required to file Schedules 13D or 13G or Forms 3, 4 or 5 with respect to the undersigned’s holdings of and transactions in securities issued by the Company, unless earlier revoked by the undersigned in a signed writing delivered to each of the foregoing attorneys-in-fact.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Power of Attorney] IN WITNESS WHEREOF, the undersigned has caused this Power of Attorney to be executed as of October 16, 2026. /s/ Robert Engel Signature Name: Robert Engel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1732" TargetMode="External"/><Relationship Id="rId3" Type="http://schemas.openxmlformats.org/officeDocument/2006/relationships/hyperlink" Target="http://www.sec.gov/cgi-bin/browse-edgar?action=getcompany&amp;CIK=000193411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1081</Words>
  <Characters>5723</Characters>
  <CharactersWithSpaces>6760</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robertengel-section16poa</dc:title>
</cp:coreProperties>
</file>