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2528601.xml.htm"/>
      <w:bookmarkStart w:id="1" w:name="kswkform3_17925286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Ibrahim Zahir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SUJA LIFE,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3831 OCEAN RANCH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OCEANSIDE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10/16/2026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 No securities are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Aneta Ferguson,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zahiribrahim-section16po.htm"/>
      <w:bookmarkStart w:id="3" w:name="kszahiribrahimsection16p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KNOW ALL BY THESE PRESENTS, that the undersigned hereby makes, constitutes and appoints Aneta Ferguson as the undersigned’s true and lawful attorney-in-fact to: (1) execute for and on behalf of the undersigned, in the undersigned’s capacity as an officer, director or both, or as a stockholder of Suja Life, Inc., a Delaware corporation, or any successor thereto (the “Company”), (i) any Schedule 13D or Schedule 13G (and any amendments and exhibits thereto, including any joint filing agreements) required to be filed by the undersigned under Section 13 of the Securities Exchange Act of 1934, as amended, and the rules promulgated thereunder (the “Exchange Act”); (ii) Forms 3, 4 and 5 (and any amendments thereto) in accordance with Section 16(a) of the Exchange Act; and (iii) any Notice of Proposed Sale of Securities on Form 144 (and any amendments thereto) in accordance with Rule 144 under the Securities Act of 1933, as amended (the “Securities Act”); (2) do and perform any and all acts for and on behalf of the undersigned which may be necessary or desirable to complete and execute any such Schedule 13D or Schedule 13G, Form 3, 4 or 5 or Form 144, complete and execute any amendments thereto, and timely file such forms with the U.S. Securities and Exchange Commission (the “SEC”) and any securities exchange or similar authority, including without limitation the filing of a Form ID or any other documents necessary or appropriate to enable the undersigned to file the Schedule 13D or Schedule 13G, Forms 3, 4 and 5 and Form 144 electronically with the SEC; (3)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 (4) 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 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13 or Section 16 of the Exchange Act or any provision of Rule 144 under the Exchange Act. This Limited Power of Attorney shall remain in full force and effect until the undersigned is no longer required to file Schedules 13D or 13G or Forms 3, 4 or 5 with respect to the undersigned’s holdings of and transactions in securities issued by the Company, unless earlier revoked by the undersigned in a signed writing delivered to each of the foregoing attorneys-in-fact.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Power of Attorney] IN WITNESS WHEREOF, the undersigned has caused this Power of Attorney to be executed as of October 16, 2026. /w/ Zahir Ibrahim Signature Name: Zahir Ibrahim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32734" TargetMode="External"/><Relationship Id="rId3" Type="http://schemas.openxmlformats.org/officeDocument/2006/relationships/hyperlink" Target="http://www.sec.gov/cgi-bin/browse-edgar?action=getcompany&amp;CIK=000193411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1084</Words>
  <Characters>5767</Characters>
  <CharactersWithSpaces>6809</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zahiribrahim-section16po</dc:title>
</cp:coreProperties>
</file>